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E598" w14:textId="77777777" w:rsidR="009600C8" w:rsidRDefault="009600C8" w:rsidP="009600C8">
      <w:pPr>
        <w:spacing w:after="0"/>
        <w:rPr>
          <w:sz w:val="20"/>
          <w:lang w:val="fr-BE"/>
        </w:rPr>
      </w:pPr>
      <w:r>
        <w:rPr>
          <w:sz w:val="20"/>
          <w:lang w:val="fr-BE"/>
        </w:rPr>
        <w:t>PROVINCE DU BRABANT WALLON</w:t>
      </w:r>
    </w:p>
    <w:p w14:paraId="6128A912" w14:textId="77777777" w:rsidR="009600C8" w:rsidRDefault="009600C8" w:rsidP="009600C8">
      <w:pPr>
        <w:spacing w:after="0"/>
        <w:rPr>
          <w:sz w:val="20"/>
          <w:lang w:val="fr-BE"/>
        </w:rPr>
      </w:pPr>
      <w:r>
        <w:rPr>
          <w:sz w:val="20"/>
          <w:lang w:val="fr-BE"/>
        </w:rPr>
        <w:t xml:space="preserve"> ARRONDISSEMENT DE NIVELLES</w:t>
      </w:r>
    </w:p>
    <w:p w14:paraId="6FEB01DC" w14:textId="77777777" w:rsidR="009600C8" w:rsidRDefault="009600C8" w:rsidP="009600C8">
      <w:pPr>
        <w:spacing w:after="0"/>
        <w:rPr>
          <w:b/>
          <w:sz w:val="20"/>
          <w:lang w:val="fr-BE"/>
        </w:rPr>
      </w:pPr>
    </w:p>
    <w:p w14:paraId="25B34B76" w14:textId="77777777" w:rsidR="009600C8" w:rsidRDefault="009600C8" w:rsidP="009600C8">
      <w:pPr>
        <w:spacing w:after="0"/>
        <w:ind w:left="993"/>
      </w:pPr>
      <w:r>
        <w:rPr>
          <w:noProof/>
        </w:rPr>
        <w:drawing>
          <wp:inline distT="0" distB="0" distL="0" distR="0" wp14:anchorId="4E59F6CF" wp14:editId="6C5E5457">
            <wp:extent cx="525780" cy="1165225"/>
            <wp:effectExtent l="0" t="0" r="0" b="0"/>
            <wp:docPr id="1" name="Image 1" descr="logo_noir-blanc_5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_noir-blanc_500p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AF21" w14:textId="77777777" w:rsidR="009600C8" w:rsidRDefault="009600C8" w:rsidP="009600C8">
      <w:pPr>
        <w:spacing w:after="0"/>
        <w:rPr>
          <w:lang w:val="fr-BE"/>
        </w:rPr>
      </w:pPr>
    </w:p>
    <w:p w14:paraId="66E566D8" w14:textId="77777777" w:rsidR="009600C8" w:rsidRDefault="009600C8" w:rsidP="009600C8">
      <w:pPr>
        <w:spacing w:after="0"/>
        <w:jc w:val="center"/>
        <w:rPr>
          <w:b/>
          <w:sz w:val="36"/>
          <w:lang w:val="fr-BE"/>
        </w:rPr>
      </w:pPr>
      <w:r>
        <w:rPr>
          <w:b/>
          <w:sz w:val="36"/>
          <w:lang w:val="fr-BE"/>
        </w:rPr>
        <w:t>CONSEIL COMMUNAL</w:t>
      </w:r>
    </w:p>
    <w:p w14:paraId="09A74EDA" w14:textId="77777777" w:rsidR="009600C8" w:rsidRDefault="009600C8" w:rsidP="009600C8">
      <w:pPr>
        <w:pStyle w:val="Titre8"/>
        <w:jc w:val="center"/>
      </w:pPr>
      <w:r>
        <w:rPr>
          <w:b/>
          <w:lang w:val="fr-BE"/>
        </w:rPr>
        <w:t>Séance du 16 juin 2026 à 19h00</w:t>
      </w:r>
    </w:p>
    <w:p w14:paraId="7288C7A0" w14:textId="77777777" w:rsidR="009600C8" w:rsidRDefault="009600C8" w:rsidP="009600C8">
      <w:pPr>
        <w:pStyle w:val="Titre8"/>
        <w:jc w:val="center"/>
        <w:rPr>
          <w:b/>
          <w:bCs/>
        </w:rPr>
      </w:pPr>
      <w:proofErr w:type="gramStart"/>
      <w:r>
        <w:rPr>
          <w:b/>
          <w:bCs/>
        </w:rPr>
        <w:t>à</w:t>
      </w:r>
      <w:proofErr w:type="gramEnd"/>
      <w:r>
        <w:rPr>
          <w:b/>
          <w:bCs/>
        </w:rPr>
        <w:t xml:space="preserve"> l'Hôtel de Ville - Salle du Conseil</w:t>
      </w:r>
    </w:p>
    <w:p w14:paraId="54780A55" w14:textId="67410840" w:rsidR="009600C8" w:rsidRPr="009600C8" w:rsidRDefault="009600C8" w:rsidP="009600C8">
      <w:pPr>
        <w:spacing w:after="0"/>
        <w:jc w:val="center"/>
        <w:rPr>
          <w:b/>
          <w:sz w:val="32"/>
          <w:u w:val="single"/>
          <w:lang w:val="fr-BE"/>
        </w:rPr>
      </w:pPr>
      <w:r>
        <w:rPr>
          <w:b/>
          <w:sz w:val="32"/>
          <w:u w:val="single"/>
          <w:lang w:val="fr-BE"/>
        </w:rPr>
        <w:t>ORDRE DU JOUR</w:t>
      </w:r>
    </w:p>
    <w:p w14:paraId="1C314622" w14:textId="77777777" w:rsidR="009600C8" w:rsidRDefault="009600C8" w:rsidP="009600C8">
      <w:pPr>
        <w:ind w:left="1134" w:hanging="1134"/>
        <w:rPr>
          <w:lang w:val="fr-BE"/>
        </w:rPr>
      </w:pPr>
    </w:p>
    <w:p w14:paraId="295C455E" w14:textId="77777777" w:rsidR="009600C8" w:rsidRDefault="009600C8" w:rsidP="009600C8">
      <w:pPr>
        <w:pStyle w:val="Titre3"/>
        <w:keepLines w:val="0"/>
        <w:tabs>
          <w:tab w:val="left" w:pos="567"/>
        </w:tabs>
        <w:spacing w:before="0" w:after="119"/>
        <w:ind w:left="567"/>
        <w:rPr>
          <w:lang w:val="fr-BE"/>
        </w:rPr>
      </w:pPr>
      <w:r>
        <w:rPr>
          <w:lang w:val="fr-BE"/>
        </w:rPr>
        <w:t>SEANCE PUBLIQUE</w:t>
      </w:r>
    </w:p>
    <w:p w14:paraId="53DDF7C5" w14:textId="77777777" w:rsidR="009600C8" w:rsidRDefault="009600C8" w:rsidP="009600C8">
      <w:pPr>
        <w:tabs>
          <w:tab w:val="left" w:pos="567"/>
        </w:tabs>
        <w:spacing w:after="0"/>
        <w:ind w:left="567" w:hanging="567"/>
        <w:rPr>
          <w:lang w:val="fr-BE"/>
        </w:rPr>
      </w:pPr>
    </w:p>
    <w:p w14:paraId="05772B7E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</w:t>
      </w:r>
      <w:r>
        <w:rPr>
          <w:lang w:val="fr-BE"/>
        </w:rPr>
        <w:tab/>
      </w:r>
      <w:r>
        <w:rPr>
          <w:szCs w:val="22"/>
          <w:lang w:val="fr-BE"/>
        </w:rPr>
        <w:t>Pôle des Affaires générales - Service du Secrétariat général - Conseil communal - Interpellation d'une citoyenne au Conseil communal</w:t>
      </w:r>
    </w:p>
    <w:p w14:paraId="47CC3BF7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Urbanisme - Perspective de Développement Urbain (PDU) - Etat d'avancement du projet Phase 1 et 2 - Pour information</w:t>
      </w:r>
    </w:p>
    <w:p w14:paraId="01255F9B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des Affaires juridiques - Partenaires externes - Régie Communale Autonome - Comptes 2025, rapport annuel et rapport de rémunération - Approbation</w:t>
      </w:r>
    </w:p>
    <w:p w14:paraId="11D16DDE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S.P.4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des Affaires juridiques - Partenaires externes - Régie Communale Autonome des Sports - Comptes 2025, rapport d'activité et rapport de rémunération - Approbation</w:t>
      </w:r>
    </w:p>
    <w:p w14:paraId="2A7085BD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S.P.5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Bâtiments - Marché de travaux - Salle des fêtes de l'Hôtel de Ville - Remplacement de l'étanchéité de la toiture - Approbation des conditions de marché</w:t>
      </w:r>
    </w:p>
    <w:p w14:paraId="39C76975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S.P.6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Bâtiments - Marché de travaux - Espace Simone Veil - Installation d'un escalier de secours et adaptation de la toiture - Approbation des conditions de marché</w:t>
      </w:r>
    </w:p>
    <w:p w14:paraId="32257BC5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S.P.7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Bâtiments - Marché public de travaux - Rénovation énergétique de la salle Jules Collette - Acceptation des conditions de marché</w:t>
      </w:r>
    </w:p>
    <w:p w14:paraId="6309F0A8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S.P.8</w:t>
      </w:r>
      <w:r>
        <w:rPr>
          <w:lang w:val="fr-BE"/>
        </w:rPr>
        <w:tab/>
      </w:r>
      <w:r>
        <w:rPr>
          <w:szCs w:val="22"/>
          <w:lang w:val="fr-BE"/>
        </w:rPr>
        <w:t xml:space="preserve">Pôle Cadre de Vie - Service Bâtiments - Marché public de travaux - Remplacement de 28 chaudières à la Résidence Simenon - Approbation des conditions du marché </w:t>
      </w:r>
    </w:p>
    <w:p w14:paraId="0F6250CC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S.P.9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Mobilité - Test de piétonisation de la rue du Progrès et Courte rue des Fontaines + SUL rue des Carabiniers - Information</w:t>
      </w:r>
    </w:p>
    <w:p w14:paraId="49C26DF0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S.P.10</w:t>
      </w:r>
      <w:r>
        <w:rPr>
          <w:lang w:val="fr-BE"/>
        </w:rPr>
        <w:tab/>
      </w:r>
      <w:r>
        <w:rPr>
          <w:szCs w:val="22"/>
          <w:lang w:val="fr-BE"/>
        </w:rPr>
        <w:t xml:space="preserve">Pôle Cadre de vie - Service Mobilité - Règlement complémentaire de circulation routière - Zone 30 - Chaussée du Château de </w:t>
      </w:r>
      <w:proofErr w:type="spellStart"/>
      <w:r>
        <w:rPr>
          <w:szCs w:val="22"/>
          <w:lang w:val="fr-BE"/>
        </w:rPr>
        <w:t>Bawette</w:t>
      </w:r>
      <w:proofErr w:type="spellEnd"/>
    </w:p>
    <w:p w14:paraId="43006322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S.P.11</w:t>
      </w:r>
      <w:r>
        <w:rPr>
          <w:lang w:val="fr-BE"/>
        </w:rPr>
        <w:tab/>
      </w:r>
      <w:r>
        <w:rPr>
          <w:szCs w:val="22"/>
          <w:lang w:val="fr-BE"/>
        </w:rPr>
        <w:t xml:space="preserve">Pôle Cadre de vie - Service Mobilité - Règlement complémentaire de circulation routière - Interdiction de stationnement - Avenue Désiré </w:t>
      </w:r>
      <w:proofErr w:type="spellStart"/>
      <w:r>
        <w:rPr>
          <w:szCs w:val="22"/>
          <w:lang w:val="fr-BE"/>
        </w:rPr>
        <w:t>Yernaux</w:t>
      </w:r>
      <w:proofErr w:type="spellEnd"/>
      <w:r>
        <w:rPr>
          <w:szCs w:val="22"/>
          <w:lang w:val="fr-BE"/>
        </w:rPr>
        <w:t xml:space="preserve"> (sens vers l'avenue de la Belle Voie)</w:t>
      </w:r>
    </w:p>
    <w:p w14:paraId="00E7EC1E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S.P.12</w:t>
      </w:r>
      <w:r>
        <w:rPr>
          <w:lang w:val="fr-BE"/>
        </w:rPr>
        <w:tab/>
      </w:r>
      <w:r>
        <w:rPr>
          <w:szCs w:val="22"/>
          <w:lang w:val="fr-BE"/>
        </w:rPr>
        <w:t xml:space="preserve">Pôle Cadre de vie - Service Mobilité - Règlement complémentaire de circulation routière - Interdiction de stationnement - Avenue Désiré </w:t>
      </w:r>
      <w:proofErr w:type="spellStart"/>
      <w:r>
        <w:rPr>
          <w:szCs w:val="22"/>
          <w:lang w:val="fr-BE"/>
        </w:rPr>
        <w:t>Yernaux</w:t>
      </w:r>
      <w:proofErr w:type="spellEnd"/>
      <w:r>
        <w:rPr>
          <w:szCs w:val="22"/>
          <w:lang w:val="fr-BE"/>
        </w:rPr>
        <w:t xml:space="preserve"> (sens vers la N4)</w:t>
      </w:r>
    </w:p>
    <w:p w14:paraId="5C59E96D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S.P.13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Mobilité - Règlement complémentaire de circulation routière - Organisation du stationnement - Avenue Henri Lepage</w:t>
      </w:r>
    </w:p>
    <w:p w14:paraId="005CF316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S.P.14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Mobilité - Règlement complémentaire de circulation routière - Interdiction de stationnement - Rue Fond des Mays</w:t>
      </w:r>
    </w:p>
    <w:p w14:paraId="08E654EF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lastRenderedPageBreak/>
        <w:t>S.P.15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Mobilité - Règlement complémentaire de circulation routière - Création d'un passage piéton - rue des Volontaires</w:t>
      </w:r>
    </w:p>
    <w:p w14:paraId="07550250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S.P.16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Mobilité - Règlement complémentaire de circulation routière - Création d'un bord fictif de chaussée - rue des Volontaires</w:t>
      </w:r>
    </w:p>
    <w:p w14:paraId="63465C5E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S.P.17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Mobilité - Règlement complémentaire de circulation routière - Création de deux passages piétons - Avenue du Centre Sportif</w:t>
      </w:r>
    </w:p>
    <w:p w14:paraId="1D525E44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S.P.18</w:t>
      </w:r>
      <w:r>
        <w:rPr>
          <w:lang w:val="fr-BE"/>
        </w:rPr>
        <w:tab/>
      </w:r>
      <w:r>
        <w:rPr>
          <w:szCs w:val="22"/>
          <w:lang w:val="fr-BE"/>
        </w:rPr>
        <w:t xml:space="preserve">Pôle Cadre de vie - Service Mobilité - Règlement complémentaire de circulation routière - Zone de livraison - N239 </w:t>
      </w:r>
    </w:p>
    <w:p w14:paraId="7BF71AA9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S.P.19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Mobilité - Règlement complémentaire de circulation routière - Zone 30 - Quartier du Centre Sportif</w:t>
      </w:r>
    </w:p>
    <w:p w14:paraId="51C6BBEE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S.P.20</w:t>
      </w:r>
      <w:r>
        <w:rPr>
          <w:lang w:val="fr-BE"/>
        </w:rPr>
        <w:tab/>
      </w:r>
      <w:r>
        <w:rPr>
          <w:szCs w:val="22"/>
          <w:lang w:val="fr-BE"/>
        </w:rPr>
        <w:t>Pôle Cadre de vie - Service Mobilité - Règlement complémentaire de circulation routière - Création de passages piétons - chaussée des Atrébates</w:t>
      </w:r>
    </w:p>
    <w:p w14:paraId="50248116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S.P.21</w:t>
      </w:r>
      <w:r>
        <w:rPr>
          <w:lang w:val="fr-BE"/>
        </w:rPr>
        <w:tab/>
      </w:r>
      <w:r>
        <w:rPr>
          <w:szCs w:val="22"/>
          <w:lang w:val="fr-BE"/>
        </w:rPr>
        <w:t xml:space="preserve">Pôle Cadre de vie - Service Urbanisme - Décret voiries - Reprise d'une surface de l'espace public sur un lot privé pour un bien sis Venelle des Buissons et Chaussée de Namur (dos. </w:t>
      </w:r>
      <w:proofErr w:type="gramStart"/>
      <w:r>
        <w:rPr>
          <w:szCs w:val="22"/>
          <w:lang w:val="fr-BE"/>
        </w:rPr>
        <w:t>n</w:t>
      </w:r>
      <w:proofErr w:type="gramEnd"/>
      <w:r>
        <w:rPr>
          <w:szCs w:val="22"/>
          <w:lang w:val="fr-BE"/>
        </w:rPr>
        <w:t>° 26/001 Voirie)</w:t>
      </w:r>
    </w:p>
    <w:p w14:paraId="23790ADA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S.P.22</w:t>
      </w:r>
      <w:r>
        <w:rPr>
          <w:lang w:val="fr-BE"/>
        </w:rPr>
        <w:tab/>
      </w:r>
      <w:r>
        <w:rPr>
          <w:szCs w:val="22"/>
          <w:lang w:val="fr-BE"/>
        </w:rPr>
        <w:t>Pôle RH et Education - Service Instruction publique - Enseignement fondamental - Ecole de l'Orangerie et du Tilleul - Modification de grille horaire pour les élèves - Rentrée 2026-2027 - Modification annexes 2 et 3 du ROI</w:t>
      </w:r>
    </w:p>
    <w:p w14:paraId="75A20936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S.P.23</w:t>
      </w:r>
      <w:r>
        <w:rPr>
          <w:lang w:val="fr-BE"/>
        </w:rPr>
        <w:tab/>
      </w:r>
      <w:r>
        <w:rPr>
          <w:szCs w:val="22"/>
          <w:lang w:val="fr-BE"/>
        </w:rPr>
        <w:t>Pôle RH et Education - Service Instruction publique - Enseignement fondamental - École de l'Amitié - Modification de grille horaire pour les élèves - Rentrée 2026-2027 - Modification annexes 2 et 3</w:t>
      </w:r>
    </w:p>
    <w:p w14:paraId="64484969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S.P.24</w:t>
      </w:r>
      <w:r>
        <w:rPr>
          <w:lang w:val="fr-BE"/>
        </w:rPr>
        <w:tab/>
      </w:r>
      <w:r>
        <w:rPr>
          <w:szCs w:val="22"/>
          <w:lang w:val="fr-BE"/>
        </w:rPr>
        <w:t>Pôle RH et Éducation - Service Instruction publique - Enseignement fondamental - Ecole de l'Amitié - Projet d'école - Mise à jour</w:t>
      </w:r>
    </w:p>
    <w:p w14:paraId="44353775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S.P.25</w:t>
      </w:r>
      <w:r>
        <w:rPr>
          <w:lang w:val="fr-BE"/>
        </w:rPr>
        <w:tab/>
      </w:r>
      <w:r>
        <w:rPr>
          <w:szCs w:val="22"/>
          <w:lang w:val="fr-BE"/>
        </w:rPr>
        <w:t>Pôle RH et Education - Service Instruction publique - Enseignement fondamental - Ecole-Vie - Projet d'école - Mise à jour</w:t>
      </w:r>
    </w:p>
    <w:p w14:paraId="489D5613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S.P.26</w:t>
      </w:r>
      <w:r>
        <w:rPr>
          <w:lang w:val="fr-BE"/>
        </w:rPr>
        <w:tab/>
      </w:r>
      <w:r>
        <w:rPr>
          <w:szCs w:val="22"/>
          <w:lang w:val="fr-BE"/>
        </w:rPr>
        <w:t xml:space="preserve">Pôle RH et Education - Service Instruction publique - Enseignement non obligatoire - ESAHR - Académie de Musique, Danse et Arts de la parole - Ratification de l'adhésion à des nouveaux programmes de cours du CECP pour le début de l'année scolaire 2026-2027. </w:t>
      </w:r>
    </w:p>
    <w:p w14:paraId="56FBF72F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S.P.27</w:t>
      </w:r>
      <w:r>
        <w:rPr>
          <w:lang w:val="fr-BE"/>
        </w:rPr>
        <w:tab/>
      </w:r>
      <w:r>
        <w:rPr>
          <w:szCs w:val="22"/>
          <w:lang w:val="fr-BE"/>
        </w:rPr>
        <w:t>Pôle stratégie et Attractivité - Direction - Rapport annuel 2025 - Prise d'acte</w:t>
      </w:r>
    </w:p>
    <w:p w14:paraId="1B46AF93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S.P.28</w:t>
      </w:r>
      <w:r>
        <w:rPr>
          <w:lang w:val="fr-BE"/>
        </w:rPr>
        <w:tab/>
      </w:r>
      <w:r>
        <w:rPr>
          <w:szCs w:val="22"/>
          <w:lang w:val="fr-BE"/>
        </w:rPr>
        <w:t>Pôle Stratégie &amp; Attractivité - Proposition de convention avec l'ASBL Kick - Développement de la Biodiversité</w:t>
      </w:r>
    </w:p>
    <w:p w14:paraId="01CA6AA8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S.P.29</w:t>
      </w:r>
      <w:r>
        <w:rPr>
          <w:lang w:val="fr-BE"/>
        </w:rPr>
        <w:tab/>
      </w:r>
      <w:r>
        <w:rPr>
          <w:szCs w:val="22"/>
          <w:lang w:val="fr-BE"/>
        </w:rPr>
        <w:t xml:space="preserve">Pôle Stratégie et Attractivité - Cohésion citoyenne et Bien-être - Santé - Sport Sur Ordonnance - Renouvellement de la Convention </w:t>
      </w:r>
    </w:p>
    <w:p w14:paraId="4D6A50C0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S.P.30</w:t>
      </w:r>
      <w:r>
        <w:rPr>
          <w:lang w:val="fr-BE"/>
        </w:rPr>
        <w:tab/>
      </w:r>
      <w:r>
        <w:rPr>
          <w:szCs w:val="22"/>
          <w:lang w:val="fr-BE"/>
        </w:rPr>
        <w:t>Pôle Stratégie et Attractivité - Service Cohésion Citoyenne et Bien-Être - PCS - Rapports financiers 2025</w:t>
      </w:r>
    </w:p>
    <w:p w14:paraId="02A8A58E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S.P.31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du Secrétariat général - Décret "Bonne gouvernance" du 29 mars 2018 modifiant le CDLD et la loi organique - Rapport de rémunération</w:t>
      </w:r>
    </w:p>
    <w:p w14:paraId="1AE3EDDD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S.P.32</w:t>
      </w:r>
      <w:r>
        <w:rPr>
          <w:lang w:val="fr-BE"/>
        </w:rPr>
        <w:tab/>
      </w:r>
      <w:r>
        <w:rPr>
          <w:szCs w:val="22"/>
          <w:lang w:val="fr-BE"/>
        </w:rPr>
        <w:t xml:space="preserve">Pôle Affaires générales - Service des Affaires juridiques - Partenaires externes - </w:t>
      </w:r>
      <w:proofErr w:type="spellStart"/>
      <w:r>
        <w:rPr>
          <w:szCs w:val="22"/>
          <w:lang w:val="fr-BE"/>
        </w:rPr>
        <w:t>VisitWavre</w:t>
      </w:r>
      <w:proofErr w:type="spellEnd"/>
      <w:r>
        <w:rPr>
          <w:szCs w:val="22"/>
          <w:lang w:val="fr-BE"/>
        </w:rPr>
        <w:t xml:space="preserve"> - Désignation des représentants de la Ville</w:t>
      </w:r>
    </w:p>
    <w:p w14:paraId="3528F062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S.P.33</w:t>
      </w:r>
      <w:r>
        <w:rPr>
          <w:lang w:val="fr-BE"/>
        </w:rPr>
        <w:tab/>
      </w:r>
      <w:r>
        <w:rPr>
          <w:szCs w:val="22"/>
          <w:lang w:val="fr-BE"/>
        </w:rPr>
        <w:t xml:space="preserve">Pôle Affaires générales - Service des Affaires juridiques - Partenaires externes - Intercommunale - </w:t>
      </w:r>
      <w:proofErr w:type="spellStart"/>
      <w:r>
        <w:rPr>
          <w:szCs w:val="22"/>
          <w:lang w:val="fr-BE"/>
        </w:rPr>
        <w:t>Ecetia</w:t>
      </w:r>
      <w:proofErr w:type="spellEnd"/>
      <w:r>
        <w:rPr>
          <w:szCs w:val="22"/>
          <w:lang w:val="fr-BE"/>
        </w:rPr>
        <w:t xml:space="preserve"> - Assemblée générale ordinaire du 23 juin 2026 - Approbation du contenu des points inscrits à l'ordre du jour</w:t>
      </w:r>
    </w:p>
    <w:p w14:paraId="7E9AB9D0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S.P.34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des Affaires juridiques - Partenaires externes - Intercommunales - In BW – Assemblée générale ordinaire du 24 juin 2026 – Approbation du contenu des points inscrits à l'ordre du jour</w:t>
      </w:r>
    </w:p>
    <w:p w14:paraId="10D75514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S.P.35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des Affaires juridiques - Intercommunales - Réseau d'Energies de Wavre - Assemblée générale ordinaire du 19 juin 2026 - Approbation du contenu des points inscrits à l'ordre du jour</w:t>
      </w:r>
    </w:p>
    <w:p w14:paraId="2FE7A520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lastRenderedPageBreak/>
        <w:t>S.P.36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des Affaires juridiques - Partenaires externes - Intercommunale - Intercommunale Sociale du Brabant wallon, en abrégé ISBW - Assemblée générale du 24 juin 2026 - Approbation du contenu des points inscrits à l'ordre du jour</w:t>
      </w:r>
    </w:p>
    <w:p w14:paraId="64B693B1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S.P.37</w:t>
      </w:r>
      <w:r>
        <w:rPr>
          <w:lang w:val="fr-BE"/>
        </w:rPr>
        <w:tab/>
      </w:r>
      <w:r>
        <w:rPr>
          <w:szCs w:val="22"/>
          <w:lang w:val="fr-BE"/>
        </w:rPr>
        <w:t xml:space="preserve">Pôle Affaires générales - Service des Affaires juridiques - Affaires immobilières - Parc industriel nord - Zone </w:t>
      </w:r>
      <w:proofErr w:type="gramStart"/>
      <w:r>
        <w:rPr>
          <w:szCs w:val="22"/>
          <w:lang w:val="fr-BE"/>
        </w:rPr>
        <w:t>C' -</w:t>
      </w:r>
      <w:proofErr w:type="gramEnd"/>
      <w:r>
        <w:rPr>
          <w:szCs w:val="22"/>
          <w:lang w:val="fr-BE"/>
        </w:rPr>
        <w:t xml:space="preserve"> Liquidation de </w:t>
      </w:r>
      <w:proofErr w:type="spellStart"/>
      <w:r>
        <w:rPr>
          <w:szCs w:val="22"/>
          <w:lang w:val="fr-BE"/>
        </w:rPr>
        <w:t>la</w:t>
      </w:r>
      <w:proofErr w:type="spellEnd"/>
      <w:r>
        <w:rPr>
          <w:szCs w:val="22"/>
          <w:lang w:val="fr-BE"/>
        </w:rPr>
        <w:t xml:space="preserve"> sa </w:t>
      </w:r>
      <w:proofErr w:type="spellStart"/>
      <w:r>
        <w:rPr>
          <w:szCs w:val="22"/>
          <w:lang w:val="fr-BE"/>
        </w:rPr>
        <w:t>Codic</w:t>
      </w:r>
      <w:proofErr w:type="spellEnd"/>
      <w:r>
        <w:rPr>
          <w:szCs w:val="22"/>
          <w:lang w:val="fr-BE"/>
        </w:rPr>
        <w:t xml:space="preserve"> Belgique - Conséquences sur les terrains vendus - Revente des Blocs 4 et 5</w:t>
      </w:r>
    </w:p>
    <w:p w14:paraId="4B4CC9B0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S.P.38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Marchés publics et Tutelle - Tutelle - Fabrique d'Eglise de Notre-Dame de Basse-Wavre - Compte pour l'année 2025 - Approbation du Conseil communal</w:t>
      </w:r>
    </w:p>
    <w:p w14:paraId="5BE23D5A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S.P.39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Marchés publics et Tutelle - Tutelle - Église Protestante de Wavre - Compte pour l'année 2025 - Approbation du Conseil communal</w:t>
      </w:r>
    </w:p>
    <w:p w14:paraId="11588C6D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S.P.40</w:t>
      </w:r>
      <w:r>
        <w:rPr>
          <w:lang w:val="fr-BE"/>
        </w:rPr>
        <w:tab/>
      </w:r>
      <w:r>
        <w:rPr>
          <w:szCs w:val="22"/>
          <w:lang w:val="fr-BE"/>
        </w:rPr>
        <w:t xml:space="preserve">Pôle Affaires générales - Service Marchés publics et Tutelle - Tutelle - Fabrique d'Eglise de Saint Joseph à </w:t>
      </w:r>
      <w:proofErr w:type="spellStart"/>
      <w:r>
        <w:rPr>
          <w:szCs w:val="22"/>
          <w:lang w:val="fr-BE"/>
        </w:rPr>
        <w:t>Rofessart</w:t>
      </w:r>
      <w:proofErr w:type="spellEnd"/>
      <w:r>
        <w:rPr>
          <w:szCs w:val="22"/>
          <w:lang w:val="fr-BE"/>
        </w:rPr>
        <w:t xml:space="preserve"> - Compte pour l'année 2025 - Avis favorable du Conseil communal</w:t>
      </w:r>
    </w:p>
    <w:p w14:paraId="0D0FE633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S.P.41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Marchés publics et Tutelle - Tutelle / CPAS - Compte pour l'année 2025 - Approbation du Conseil communal</w:t>
      </w:r>
    </w:p>
    <w:p w14:paraId="35FEF9A3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S.P.42</w:t>
      </w:r>
      <w:r>
        <w:rPr>
          <w:lang w:val="fr-BE"/>
        </w:rPr>
        <w:tab/>
      </w:r>
      <w:r>
        <w:rPr>
          <w:szCs w:val="22"/>
          <w:lang w:val="fr-BE"/>
        </w:rPr>
        <w:t>Pôle Affaires générales - Service Marchés publics et Tutelle - Tutelle/CPAS - Budget pour l'exercice 2026 - Première demande de modification budgétaire des services ordinaire et extraordinaire - Approbation du Conseil communal</w:t>
      </w:r>
    </w:p>
    <w:p w14:paraId="11BBA428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S.P.43</w:t>
      </w:r>
      <w:r>
        <w:rPr>
          <w:lang w:val="fr-BE"/>
        </w:rPr>
        <w:tab/>
      </w:r>
      <w:r>
        <w:rPr>
          <w:szCs w:val="22"/>
          <w:lang w:val="fr-BE"/>
        </w:rPr>
        <w:t>Pôle Finances - Encouragement à diverses activités sociales, culturelles et sportives - subsides de 3500€ et plus - Exercice 2026</w:t>
      </w:r>
    </w:p>
    <w:p w14:paraId="66954003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S.P.44</w:t>
      </w:r>
      <w:r>
        <w:rPr>
          <w:lang w:val="fr-BE"/>
        </w:rPr>
        <w:tab/>
      </w:r>
      <w:r>
        <w:rPr>
          <w:szCs w:val="22"/>
          <w:lang w:val="fr-BE"/>
        </w:rPr>
        <w:t>Pôle Finances - Encouragement à diverses activités sociales, culturelles et sportives - subsides de moins de 3500€ - Exercice 2026</w:t>
      </w:r>
    </w:p>
    <w:p w14:paraId="06C596C0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S.P.45</w:t>
      </w:r>
      <w:r>
        <w:rPr>
          <w:lang w:val="fr-BE"/>
        </w:rPr>
        <w:tab/>
      </w:r>
      <w:r>
        <w:rPr>
          <w:szCs w:val="22"/>
          <w:lang w:val="fr-BE"/>
        </w:rPr>
        <w:t>Pôle finances - Règlement-redevance sur certains services offerts au sein des écoles communales 2026-2031 inclus</w:t>
      </w:r>
    </w:p>
    <w:p w14:paraId="6534E730" w14:textId="77777777" w:rsidR="009600C8" w:rsidRDefault="009600C8" w:rsidP="009600C8">
      <w:pPr>
        <w:pStyle w:val="TableContents"/>
        <w:spacing w:after="113"/>
        <w:ind w:left="1134" w:hanging="1134"/>
        <w:rPr>
          <w:lang w:val="fr-BE"/>
        </w:rPr>
      </w:pPr>
      <w:r>
        <w:rPr>
          <w:lang w:val="fr-BE"/>
        </w:rPr>
        <w:t>S.P.46</w:t>
      </w:r>
      <w:r>
        <w:rPr>
          <w:lang w:val="fr-BE"/>
        </w:rPr>
        <w:tab/>
      </w:r>
      <w:r>
        <w:rPr>
          <w:szCs w:val="22"/>
          <w:lang w:val="fr-BE"/>
        </w:rPr>
        <w:t>Questions d'actualité</w:t>
      </w:r>
    </w:p>
    <w:p w14:paraId="323A952E" w14:textId="3B091A41" w:rsidR="00E60CDC" w:rsidRPr="009600C8" w:rsidRDefault="00E60CDC" w:rsidP="009600C8">
      <w:pPr>
        <w:tabs>
          <w:tab w:val="left" w:pos="567"/>
        </w:tabs>
        <w:spacing w:after="0"/>
        <w:rPr>
          <w:lang w:val="fr-BE"/>
        </w:rPr>
      </w:pPr>
    </w:p>
    <w:sectPr w:rsidR="00E60CDC" w:rsidRPr="009600C8" w:rsidSect="00960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arela Round">
    <w:charset w:val="B1"/>
    <w:family w:val="auto"/>
    <w:pitch w:val="variable"/>
    <w:sig w:usb0="20000807" w:usb1="00000003" w:usb2="00000000" w:usb3="00000000" w:csb0="000001B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6687"/>
    <w:multiLevelType w:val="multilevel"/>
    <w:tmpl w:val="313A0D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3"/>
      </w:pPr>
      <w:rPr>
        <w:rFonts w:ascii="Varela Round" w:hAnsi="Varela Round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4656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C8"/>
    <w:rsid w:val="00076D46"/>
    <w:rsid w:val="006E6B14"/>
    <w:rsid w:val="00874A0C"/>
    <w:rsid w:val="009600C8"/>
    <w:rsid w:val="00E460F2"/>
    <w:rsid w:val="00E6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9E7E"/>
  <w15:chartTrackingRefBased/>
  <w15:docId w15:val="{10B7B640-2B95-4458-A34B-6FA0D69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0C8"/>
    <w:pPr>
      <w:suppressAutoHyphens/>
      <w:spacing w:after="119" w:line="240" w:lineRule="auto"/>
      <w:jc w:val="both"/>
    </w:pPr>
    <w:rPr>
      <w:rFonts w:ascii="Varela Round" w:eastAsia="Times New Roman" w:hAnsi="Varela Round" w:cs="Times New Roman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60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60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0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0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0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0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960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0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00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00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00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00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00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00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0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0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00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00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00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00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00C8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qFormat/>
    <w:rsid w:val="0096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Godechoul</dc:creator>
  <cp:keywords/>
  <dc:description/>
  <cp:lastModifiedBy>Stephanie Van Kerckhove</cp:lastModifiedBy>
  <cp:revision>2</cp:revision>
  <dcterms:created xsi:type="dcterms:W3CDTF">2026-06-12T20:41:00Z</dcterms:created>
  <dcterms:modified xsi:type="dcterms:W3CDTF">2026-06-12T20:41:00Z</dcterms:modified>
</cp:coreProperties>
</file>