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7632" w14:textId="77777777" w:rsidR="008704B7" w:rsidRDefault="00AA79C0">
      <w:pPr>
        <w:spacing w:after="0"/>
        <w:rPr>
          <w:sz w:val="20"/>
          <w:lang w:val="fr-BE"/>
        </w:rPr>
      </w:pPr>
      <w:r>
        <w:rPr>
          <w:sz w:val="20"/>
          <w:lang w:val="fr-BE"/>
        </w:rPr>
        <w:t>PROVINCE DU BRABANT WALLON</w:t>
      </w:r>
    </w:p>
    <w:p w14:paraId="209341FE" w14:textId="77777777" w:rsidR="008704B7" w:rsidRDefault="00AA79C0">
      <w:pPr>
        <w:spacing w:after="0"/>
        <w:rPr>
          <w:sz w:val="20"/>
          <w:lang w:val="fr-BE"/>
        </w:rPr>
      </w:pPr>
      <w:r>
        <w:rPr>
          <w:sz w:val="20"/>
          <w:lang w:val="fr-BE"/>
        </w:rPr>
        <w:t xml:space="preserve"> ARRONDISSEMENT DE NIVELLES</w:t>
      </w:r>
    </w:p>
    <w:p w14:paraId="4C578158" w14:textId="77777777" w:rsidR="008704B7" w:rsidRDefault="008704B7">
      <w:pPr>
        <w:spacing w:after="0"/>
        <w:rPr>
          <w:b/>
          <w:sz w:val="20"/>
          <w:lang w:val="fr-BE"/>
        </w:rPr>
      </w:pPr>
    </w:p>
    <w:p w14:paraId="5409DF2A" w14:textId="77777777" w:rsidR="008704B7" w:rsidRDefault="00AA79C0">
      <w:pPr>
        <w:spacing w:after="0"/>
        <w:ind w:left="993"/>
      </w:pPr>
      <w:r>
        <w:rPr>
          <w:noProof/>
        </w:rPr>
        <w:drawing>
          <wp:inline distT="0" distB="0" distL="0" distR="0" wp14:anchorId="0589FDF1" wp14:editId="19DFAA72">
            <wp:extent cx="525780" cy="1165225"/>
            <wp:effectExtent l="0" t="0" r="0" b="0"/>
            <wp:docPr id="1" name="Image 1" descr="logo_noir-blanc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_noir-blanc_500px"/>
                    <pic:cNvPicPr>
                      <a:picLocks noChangeAspect="1" noChangeArrowheads="1"/>
                    </pic:cNvPicPr>
                  </pic:nvPicPr>
                  <pic:blipFill>
                    <a:blip r:embed="rId7"/>
                    <a:stretch>
                      <a:fillRect/>
                    </a:stretch>
                  </pic:blipFill>
                  <pic:spPr bwMode="auto">
                    <a:xfrm>
                      <a:off x="0" y="0"/>
                      <a:ext cx="525780" cy="1165225"/>
                    </a:xfrm>
                    <a:prstGeom prst="rect">
                      <a:avLst/>
                    </a:prstGeom>
                  </pic:spPr>
                </pic:pic>
              </a:graphicData>
            </a:graphic>
          </wp:inline>
        </w:drawing>
      </w:r>
    </w:p>
    <w:p w14:paraId="19C33211" w14:textId="77777777" w:rsidR="008704B7" w:rsidRDefault="008704B7">
      <w:pPr>
        <w:spacing w:after="0"/>
        <w:rPr>
          <w:lang w:val="fr-BE"/>
        </w:rPr>
      </w:pPr>
    </w:p>
    <w:p w14:paraId="7064678D" w14:textId="77777777" w:rsidR="008704B7" w:rsidRDefault="00AA79C0">
      <w:pPr>
        <w:spacing w:after="0"/>
        <w:jc w:val="center"/>
        <w:rPr>
          <w:b/>
          <w:sz w:val="36"/>
          <w:lang w:val="fr-BE"/>
        </w:rPr>
      </w:pPr>
      <w:r>
        <w:rPr>
          <w:b/>
          <w:sz w:val="36"/>
          <w:lang w:val="fr-BE"/>
        </w:rPr>
        <w:t>CONSEIL COMMUNAL</w:t>
      </w:r>
    </w:p>
    <w:p w14:paraId="56E580F6" w14:textId="77777777" w:rsidR="008704B7" w:rsidRDefault="00AA79C0">
      <w:pPr>
        <w:pStyle w:val="Titre8"/>
        <w:spacing w:after="0"/>
        <w:ind w:left="0"/>
        <w:jc w:val="center"/>
      </w:pPr>
      <w:r>
        <w:rPr>
          <w:b/>
          <w:lang w:val="fr-BE"/>
        </w:rPr>
        <w:t>Séance du 04 novembre 2025 à 20h00</w:t>
      </w:r>
    </w:p>
    <w:p w14:paraId="3D913735" w14:textId="77777777" w:rsidR="008704B7" w:rsidRDefault="00AA79C0">
      <w:pPr>
        <w:pStyle w:val="Titre8"/>
        <w:ind w:left="0"/>
        <w:jc w:val="center"/>
        <w:rPr>
          <w:b/>
          <w:bCs/>
        </w:rPr>
      </w:pPr>
      <w:proofErr w:type="gramStart"/>
      <w:r>
        <w:rPr>
          <w:b/>
          <w:bCs/>
        </w:rPr>
        <w:t>à</w:t>
      </w:r>
      <w:proofErr w:type="gramEnd"/>
      <w:r>
        <w:rPr>
          <w:b/>
          <w:bCs/>
        </w:rPr>
        <w:t xml:space="preserve"> l'Hôtel de Ville - Salle du Conseil</w:t>
      </w:r>
    </w:p>
    <w:p w14:paraId="06FFBDEE" w14:textId="77777777" w:rsidR="008704B7" w:rsidRDefault="00AA79C0">
      <w:pPr>
        <w:spacing w:after="0"/>
        <w:jc w:val="center"/>
        <w:rPr>
          <w:b/>
          <w:sz w:val="32"/>
          <w:u w:val="single"/>
          <w:lang w:val="fr-BE"/>
        </w:rPr>
      </w:pPr>
      <w:r>
        <w:rPr>
          <w:b/>
          <w:sz w:val="32"/>
          <w:u w:val="single"/>
          <w:lang w:val="fr-BE"/>
        </w:rPr>
        <w:t>ORDRE DU JOUR</w:t>
      </w:r>
    </w:p>
    <w:p w14:paraId="1C26067D" w14:textId="77777777" w:rsidR="008704B7" w:rsidRDefault="008704B7">
      <w:pPr>
        <w:ind w:left="1134" w:hanging="1134"/>
        <w:rPr>
          <w:lang w:val="fr-BE"/>
        </w:rPr>
      </w:pPr>
    </w:p>
    <w:p w14:paraId="79D3B7A2" w14:textId="77777777" w:rsidR="008704B7" w:rsidRDefault="008704B7">
      <w:pPr>
        <w:ind w:left="1134" w:hanging="1134"/>
        <w:rPr>
          <w:lang w:val="fr-BE"/>
        </w:rPr>
      </w:pPr>
    </w:p>
    <w:p w14:paraId="4A38B3F8" w14:textId="77777777" w:rsidR="008704B7" w:rsidRDefault="00AA79C0">
      <w:pPr>
        <w:pStyle w:val="Titre3"/>
        <w:numPr>
          <w:ilvl w:val="0"/>
          <w:numId w:val="1"/>
        </w:numPr>
        <w:tabs>
          <w:tab w:val="left" w:pos="567"/>
        </w:tabs>
        <w:ind w:left="567" w:hanging="567"/>
        <w:rPr>
          <w:lang w:val="fr-BE"/>
        </w:rPr>
      </w:pPr>
      <w:r>
        <w:rPr>
          <w:lang w:val="fr-BE"/>
        </w:rPr>
        <w:t>SEANCE PUBLIQUE</w:t>
      </w:r>
    </w:p>
    <w:p w14:paraId="7C5CFD25" w14:textId="77777777" w:rsidR="008704B7" w:rsidRDefault="008704B7">
      <w:pPr>
        <w:tabs>
          <w:tab w:val="left" w:pos="567"/>
        </w:tabs>
        <w:spacing w:after="0"/>
        <w:ind w:left="567" w:hanging="567"/>
        <w:rPr>
          <w:lang w:val="fr-BE"/>
        </w:rPr>
      </w:pPr>
    </w:p>
    <w:p w14:paraId="16685C4B" w14:textId="77777777" w:rsidR="008704B7" w:rsidRDefault="00AA79C0">
      <w:pPr>
        <w:pStyle w:val="TableContents"/>
        <w:spacing w:after="113"/>
        <w:ind w:left="1134" w:hanging="1134"/>
        <w:rPr>
          <w:lang w:val="fr-BE"/>
        </w:rPr>
      </w:pPr>
      <w:r>
        <w:rPr>
          <w:lang w:val="fr-BE"/>
        </w:rPr>
        <w:t>S.P.1</w:t>
      </w:r>
      <w:r>
        <w:rPr>
          <w:lang w:val="fr-BE"/>
        </w:rPr>
        <w:tab/>
      </w:r>
      <w:r>
        <w:rPr>
          <w:szCs w:val="22"/>
          <w:lang w:val="fr-BE"/>
        </w:rPr>
        <w:t>Pôle Numérique et Support - Service Logistique - Règlement communal relatif à l'occupation des espaces communaux - validation du règlement et des annexes</w:t>
      </w:r>
    </w:p>
    <w:p w14:paraId="3CA979CB" w14:textId="77777777" w:rsidR="008704B7" w:rsidRDefault="00AA79C0">
      <w:pPr>
        <w:pStyle w:val="TableContents"/>
        <w:spacing w:after="113"/>
        <w:ind w:left="1134" w:hanging="1134"/>
        <w:rPr>
          <w:lang w:val="fr-BE"/>
        </w:rPr>
      </w:pPr>
      <w:r>
        <w:rPr>
          <w:lang w:val="fr-BE"/>
        </w:rPr>
        <w:t>S.P.2</w:t>
      </w:r>
      <w:r>
        <w:rPr>
          <w:lang w:val="fr-BE"/>
        </w:rPr>
        <w:tab/>
      </w:r>
      <w:r>
        <w:rPr>
          <w:szCs w:val="22"/>
          <w:lang w:val="fr-BE"/>
        </w:rPr>
        <w:t>Pôle Finances - Service des finances - Règlement-redevance communale due en cas d’occupation de locaux communaux et sur les frais y relatifs - Dès l'entrée en vigueur jusqu'en 2031 inclus</w:t>
      </w:r>
    </w:p>
    <w:p w14:paraId="4CB244B3" w14:textId="77777777" w:rsidR="008704B7" w:rsidRDefault="00AA79C0">
      <w:pPr>
        <w:pStyle w:val="TableContents"/>
        <w:spacing w:after="113"/>
        <w:ind w:left="1134" w:hanging="1134"/>
        <w:rPr>
          <w:lang w:val="fr-BE"/>
        </w:rPr>
      </w:pPr>
      <w:r>
        <w:rPr>
          <w:lang w:val="fr-BE"/>
        </w:rPr>
        <w:t>S.P.3</w:t>
      </w:r>
      <w:r>
        <w:rPr>
          <w:lang w:val="fr-BE"/>
        </w:rPr>
        <w:tab/>
      </w:r>
      <w:r>
        <w:rPr>
          <w:szCs w:val="22"/>
          <w:lang w:val="fr-BE"/>
        </w:rPr>
        <w:t xml:space="preserve">Pôle Finances - Service des Finances - </w:t>
      </w:r>
      <w:proofErr w:type="spellStart"/>
      <w:r>
        <w:rPr>
          <w:szCs w:val="22"/>
          <w:lang w:val="fr-BE"/>
        </w:rPr>
        <w:t>Règlement-taxe</w:t>
      </w:r>
      <w:proofErr w:type="spellEnd"/>
      <w:r>
        <w:rPr>
          <w:szCs w:val="22"/>
          <w:lang w:val="fr-BE"/>
        </w:rPr>
        <w:t xml:space="preserve"> de séjour 2026 à 2031 inclus</w:t>
      </w:r>
    </w:p>
    <w:p w14:paraId="6E026CB4" w14:textId="77777777" w:rsidR="008704B7" w:rsidRDefault="00AA79C0">
      <w:pPr>
        <w:pStyle w:val="TableContents"/>
        <w:spacing w:after="113"/>
        <w:ind w:left="1134" w:hanging="1134"/>
        <w:rPr>
          <w:lang w:val="fr-BE"/>
        </w:rPr>
      </w:pPr>
      <w:r>
        <w:rPr>
          <w:lang w:val="fr-BE"/>
        </w:rPr>
        <w:t>S.P.4</w:t>
      </w:r>
      <w:r>
        <w:rPr>
          <w:lang w:val="fr-BE"/>
        </w:rPr>
        <w:tab/>
      </w:r>
      <w:r>
        <w:rPr>
          <w:szCs w:val="22"/>
          <w:lang w:val="fr-BE"/>
        </w:rPr>
        <w:t xml:space="preserve">Pôle Finances - Service des Finances - </w:t>
      </w:r>
      <w:proofErr w:type="spellStart"/>
      <w:r>
        <w:rPr>
          <w:szCs w:val="22"/>
          <w:lang w:val="fr-BE"/>
        </w:rPr>
        <w:t>Règlement</w:t>
      </w:r>
      <w:proofErr w:type="spellEnd"/>
      <w:r>
        <w:rPr>
          <w:szCs w:val="22"/>
          <w:lang w:val="fr-BE"/>
        </w:rPr>
        <w:t xml:space="preserve"> taxes sur les agences de paris sur les courses de chevaux 2026 à 2031 inclus</w:t>
      </w:r>
    </w:p>
    <w:p w14:paraId="6E1121E2" w14:textId="77777777" w:rsidR="008704B7" w:rsidRDefault="00AA79C0">
      <w:pPr>
        <w:pStyle w:val="TableContents"/>
        <w:spacing w:after="113"/>
        <w:ind w:left="1134" w:hanging="1134"/>
        <w:rPr>
          <w:lang w:val="fr-BE"/>
        </w:rPr>
      </w:pPr>
      <w:r>
        <w:rPr>
          <w:lang w:val="fr-BE"/>
        </w:rPr>
        <w:t>S.P.5</w:t>
      </w:r>
      <w:r>
        <w:rPr>
          <w:lang w:val="fr-BE"/>
        </w:rPr>
        <w:tab/>
      </w:r>
      <w:r>
        <w:rPr>
          <w:szCs w:val="22"/>
          <w:lang w:val="fr-BE"/>
        </w:rPr>
        <w:t xml:space="preserve">Pôle Finances - Service des Finances - </w:t>
      </w:r>
      <w:proofErr w:type="spellStart"/>
      <w:r>
        <w:rPr>
          <w:szCs w:val="22"/>
          <w:lang w:val="fr-BE"/>
        </w:rPr>
        <w:t>Règlement-taxe</w:t>
      </w:r>
      <w:proofErr w:type="spellEnd"/>
      <w:r>
        <w:rPr>
          <w:szCs w:val="22"/>
          <w:lang w:val="fr-BE"/>
        </w:rPr>
        <w:t xml:space="preserve"> communale annuelle sur les secondes résidences 2026 à 2031 inclus</w:t>
      </w:r>
    </w:p>
    <w:p w14:paraId="224DDBE8" w14:textId="77777777" w:rsidR="008704B7" w:rsidRDefault="00AA79C0">
      <w:pPr>
        <w:pStyle w:val="TableContents"/>
        <w:spacing w:after="113"/>
        <w:ind w:left="1134" w:hanging="1134"/>
        <w:rPr>
          <w:lang w:val="fr-BE"/>
        </w:rPr>
      </w:pPr>
      <w:r>
        <w:rPr>
          <w:lang w:val="fr-BE"/>
        </w:rPr>
        <w:t>S.P.6</w:t>
      </w:r>
      <w:r>
        <w:rPr>
          <w:lang w:val="fr-BE"/>
        </w:rPr>
        <w:tab/>
      </w:r>
      <w:r>
        <w:rPr>
          <w:szCs w:val="22"/>
          <w:lang w:val="fr-BE"/>
        </w:rPr>
        <w:t>Pôle des Finances - Service des Finances - Règlement-taxe sur la délivrance de documents administratifs par la commune 2026 - 2031 inclus</w:t>
      </w:r>
    </w:p>
    <w:p w14:paraId="1FFA100D" w14:textId="77777777" w:rsidR="008704B7" w:rsidRDefault="00AA79C0">
      <w:pPr>
        <w:pStyle w:val="TableContents"/>
        <w:spacing w:after="113"/>
        <w:ind w:left="1134" w:hanging="1134"/>
        <w:rPr>
          <w:lang w:val="fr-BE"/>
        </w:rPr>
      </w:pPr>
      <w:r>
        <w:rPr>
          <w:lang w:val="fr-BE"/>
        </w:rPr>
        <w:t>S.P.7</w:t>
      </w:r>
      <w:r>
        <w:rPr>
          <w:lang w:val="fr-BE"/>
        </w:rPr>
        <w:tab/>
      </w:r>
      <w:r>
        <w:rPr>
          <w:szCs w:val="22"/>
          <w:lang w:val="fr-BE"/>
        </w:rPr>
        <w:t>Pôle Finances - Service des Finances - Règlement-redevance pour l'enregistrement d'une demande de changement de prénom 2026 - 2031 inclus</w:t>
      </w:r>
    </w:p>
    <w:p w14:paraId="5746821C" w14:textId="77777777" w:rsidR="008704B7" w:rsidRDefault="00AA79C0">
      <w:pPr>
        <w:pStyle w:val="TableContents"/>
        <w:spacing w:after="113"/>
        <w:ind w:left="1134" w:hanging="1134"/>
        <w:rPr>
          <w:lang w:val="fr-BE"/>
        </w:rPr>
      </w:pPr>
      <w:r>
        <w:rPr>
          <w:lang w:val="fr-BE"/>
        </w:rPr>
        <w:t>S.P.8</w:t>
      </w:r>
      <w:r>
        <w:rPr>
          <w:lang w:val="fr-BE"/>
        </w:rPr>
        <w:tab/>
      </w:r>
      <w:r>
        <w:rPr>
          <w:szCs w:val="22"/>
          <w:lang w:val="fr-BE"/>
        </w:rPr>
        <w:t>Pôle Finances - Service des Finances - Règlement-redevance communale sur les opérations d’exhumations de confort et de rassemblement de restes mortels exécutées ou non par la commune 2026 - 2031 inclus</w:t>
      </w:r>
    </w:p>
    <w:p w14:paraId="46FA5FA3" w14:textId="77777777" w:rsidR="008704B7" w:rsidRDefault="00AA79C0">
      <w:pPr>
        <w:pStyle w:val="TableContents"/>
        <w:spacing w:after="113"/>
        <w:ind w:left="1134" w:hanging="1134"/>
        <w:rPr>
          <w:lang w:val="fr-BE"/>
        </w:rPr>
      </w:pPr>
      <w:r>
        <w:rPr>
          <w:lang w:val="fr-BE"/>
        </w:rPr>
        <w:t>S.P.9</w:t>
      </w:r>
      <w:r>
        <w:rPr>
          <w:lang w:val="fr-BE"/>
        </w:rPr>
        <w:tab/>
      </w:r>
      <w:r>
        <w:rPr>
          <w:szCs w:val="22"/>
          <w:lang w:val="fr-BE"/>
        </w:rPr>
        <w:t>Pôle Finances - Service des Finances - Règlement-redevance communale pour toute ouverture de caveaux ou de concessions pleine terre pour cercueil dans les cimetières communaux 2026 à 2031 inclus</w:t>
      </w:r>
    </w:p>
    <w:p w14:paraId="0E33C689" w14:textId="77777777" w:rsidR="008704B7" w:rsidRDefault="00AA79C0">
      <w:pPr>
        <w:pStyle w:val="TableContents"/>
        <w:spacing w:after="113"/>
        <w:ind w:left="1134" w:hanging="1134"/>
        <w:rPr>
          <w:lang w:val="fr-BE"/>
        </w:rPr>
      </w:pPr>
      <w:r>
        <w:rPr>
          <w:lang w:val="fr-BE"/>
        </w:rPr>
        <w:t>S.P.10</w:t>
      </w:r>
      <w:r>
        <w:rPr>
          <w:lang w:val="fr-BE"/>
        </w:rPr>
        <w:tab/>
      </w:r>
      <w:r>
        <w:rPr>
          <w:szCs w:val="22"/>
          <w:lang w:val="fr-BE"/>
        </w:rPr>
        <w:t xml:space="preserve">Pôle Finances - Service des Finances - </w:t>
      </w:r>
      <w:proofErr w:type="spellStart"/>
      <w:r>
        <w:rPr>
          <w:szCs w:val="22"/>
          <w:lang w:val="fr-BE"/>
        </w:rPr>
        <w:t>Règlement-taxe</w:t>
      </w:r>
      <w:proofErr w:type="spellEnd"/>
      <w:r>
        <w:rPr>
          <w:szCs w:val="22"/>
          <w:lang w:val="fr-BE"/>
        </w:rPr>
        <w:t xml:space="preserve"> sur l’inhumation ou la dispersion des restes mortels 2026 à 2031 inclus</w:t>
      </w:r>
    </w:p>
    <w:p w14:paraId="735432D5" w14:textId="77777777" w:rsidR="008704B7" w:rsidRDefault="00AA79C0">
      <w:pPr>
        <w:pStyle w:val="TableContents"/>
        <w:spacing w:after="113"/>
        <w:ind w:left="1134" w:hanging="1134"/>
        <w:rPr>
          <w:lang w:val="fr-BE"/>
        </w:rPr>
      </w:pPr>
      <w:r>
        <w:rPr>
          <w:lang w:val="fr-BE"/>
        </w:rPr>
        <w:t>S.P.11</w:t>
      </w:r>
      <w:r>
        <w:rPr>
          <w:lang w:val="fr-BE"/>
        </w:rPr>
        <w:tab/>
      </w:r>
      <w:r>
        <w:rPr>
          <w:szCs w:val="22"/>
          <w:lang w:val="fr-BE"/>
        </w:rPr>
        <w:t xml:space="preserve">Pôle Finances - Service des Finances - Règlement-redevance communale pour les concessions de terrain pour sépultures, les urnes, les cellules de </w:t>
      </w:r>
      <w:r>
        <w:rPr>
          <w:szCs w:val="22"/>
          <w:lang w:val="fr-BE"/>
        </w:rPr>
        <w:lastRenderedPageBreak/>
        <w:t>columbarium, les plaquettes et les caveaux dans les cimetières communaux 2026 à 2031 inclus</w:t>
      </w:r>
    </w:p>
    <w:p w14:paraId="002F1702" w14:textId="77777777" w:rsidR="008704B7" w:rsidRDefault="00AA79C0">
      <w:pPr>
        <w:pStyle w:val="TableContents"/>
        <w:spacing w:after="113"/>
        <w:ind w:left="1134" w:hanging="1134"/>
        <w:rPr>
          <w:lang w:val="fr-BE"/>
        </w:rPr>
      </w:pPr>
      <w:r>
        <w:rPr>
          <w:lang w:val="fr-BE"/>
        </w:rPr>
        <w:t>S.P.12</w:t>
      </w:r>
      <w:r>
        <w:rPr>
          <w:lang w:val="fr-BE"/>
        </w:rPr>
        <w:tab/>
      </w:r>
      <w:r>
        <w:rPr>
          <w:szCs w:val="22"/>
          <w:lang w:val="fr-BE"/>
        </w:rPr>
        <w:t xml:space="preserve">Pôle Finances - Service des Finances - Règlement-taxe communale sur les clubs </w:t>
      </w:r>
      <w:proofErr w:type="spellStart"/>
      <w:r>
        <w:rPr>
          <w:szCs w:val="22"/>
          <w:lang w:val="fr-BE"/>
        </w:rPr>
        <w:t>privés</w:t>
      </w:r>
      <w:proofErr w:type="spellEnd"/>
      <w:r>
        <w:rPr>
          <w:szCs w:val="22"/>
          <w:lang w:val="fr-BE"/>
        </w:rPr>
        <w:t xml:space="preserve"> 2026 à 2031 inclus</w:t>
      </w:r>
    </w:p>
    <w:p w14:paraId="2992647F" w14:textId="77777777" w:rsidR="008704B7" w:rsidRDefault="00AA79C0">
      <w:pPr>
        <w:pStyle w:val="TableContents"/>
        <w:spacing w:after="113"/>
        <w:ind w:left="1134" w:hanging="1134"/>
        <w:rPr>
          <w:lang w:val="fr-BE"/>
        </w:rPr>
      </w:pPr>
      <w:r>
        <w:rPr>
          <w:lang w:val="fr-BE"/>
        </w:rPr>
        <w:t>S.P.13</w:t>
      </w:r>
      <w:r>
        <w:rPr>
          <w:lang w:val="fr-BE"/>
        </w:rPr>
        <w:tab/>
      </w:r>
      <w:r>
        <w:rPr>
          <w:szCs w:val="22"/>
          <w:lang w:val="fr-BE"/>
        </w:rPr>
        <w:t>Pôle Finances - Service des Finances - Règlement-redevance pour les prestations communales techniques en général - 2026 à 2031 inclus</w:t>
      </w:r>
    </w:p>
    <w:p w14:paraId="70261B86" w14:textId="77777777" w:rsidR="008704B7" w:rsidRDefault="00AA79C0">
      <w:pPr>
        <w:pStyle w:val="TableContents"/>
        <w:spacing w:after="113"/>
        <w:ind w:left="1134" w:hanging="1134"/>
        <w:rPr>
          <w:lang w:val="fr-BE"/>
        </w:rPr>
      </w:pPr>
      <w:r>
        <w:rPr>
          <w:lang w:val="fr-BE"/>
        </w:rPr>
        <w:t>S.P.14</w:t>
      </w:r>
      <w:r>
        <w:rPr>
          <w:lang w:val="fr-BE"/>
        </w:rPr>
        <w:tab/>
      </w:r>
      <w:r>
        <w:rPr>
          <w:szCs w:val="22"/>
          <w:lang w:val="fr-BE"/>
        </w:rPr>
        <w:t>Pôle Finances - Service des Finances - Règlement-redevance communale sur l'enlèvement des versages sauvages 2026 - 2031 inclus</w:t>
      </w:r>
    </w:p>
    <w:p w14:paraId="00FAE589" w14:textId="77777777" w:rsidR="008704B7" w:rsidRDefault="00AA79C0">
      <w:pPr>
        <w:pStyle w:val="TableContents"/>
        <w:spacing w:after="113"/>
        <w:ind w:left="1134" w:hanging="1134"/>
        <w:rPr>
          <w:lang w:val="fr-BE"/>
        </w:rPr>
      </w:pPr>
      <w:r>
        <w:rPr>
          <w:lang w:val="fr-BE"/>
        </w:rPr>
        <w:t>S.P.15</w:t>
      </w:r>
      <w:r>
        <w:rPr>
          <w:lang w:val="fr-BE"/>
        </w:rPr>
        <w:tab/>
      </w:r>
      <w:r>
        <w:rPr>
          <w:szCs w:val="22"/>
          <w:lang w:val="fr-BE"/>
        </w:rPr>
        <w:t xml:space="preserve">Pôle Finances - Service des Finances - </w:t>
      </w:r>
      <w:proofErr w:type="spellStart"/>
      <w:r>
        <w:rPr>
          <w:szCs w:val="22"/>
          <w:lang w:val="fr-BE"/>
        </w:rPr>
        <w:t>Règlement-taxe</w:t>
      </w:r>
      <w:proofErr w:type="spellEnd"/>
      <w:r>
        <w:rPr>
          <w:szCs w:val="22"/>
          <w:lang w:val="fr-BE"/>
        </w:rPr>
        <w:t xml:space="preserve"> communale sur l’absence d’emplacement de parcage 2026 à 2031 inclus</w:t>
      </w:r>
    </w:p>
    <w:p w14:paraId="34446401" w14:textId="77777777" w:rsidR="008704B7" w:rsidRDefault="00AA79C0">
      <w:pPr>
        <w:pStyle w:val="TableContents"/>
        <w:spacing w:after="113"/>
        <w:ind w:left="1134" w:hanging="1134"/>
        <w:rPr>
          <w:lang w:val="fr-BE"/>
        </w:rPr>
      </w:pPr>
      <w:r>
        <w:rPr>
          <w:lang w:val="fr-BE"/>
        </w:rPr>
        <w:t>S.P.16</w:t>
      </w:r>
      <w:r>
        <w:rPr>
          <w:lang w:val="fr-BE"/>
        </w:rPr>
        <w:tab/>
      </w:r>
      <w:r>
        <w:rPr>
          <w:szCs w:val="22"/>
          <w:lang w:val="fr-BE"/>
        </w:rPr>
        <w:t xml:space="preserve">Pôle Finances - Service des Finances - </w:t>
      </w:r>
      <w:proofErr w:type="spellStart"/>
      <w:r>
        <w:rPr>
          <w:szCs w:val="22"/>
          <w:lang w:val="fr-BE"/>
        </w:rPr>
        <w:t>Règlement-taxe</w:t>
      </w:r>
      <w:proofErr w:type="spellEnd"/>
      <w:r>
        <w:rPr>
          <w:szCs w:val="22"/>
          <w:lang w:val="fr-BE"/>
        </w:rPr>
        <w:t xml:space="preserve"> communale indirecte sur la distribution gratuite d'écrits et Règlement de la taxe communale sur la diffusion publicitaire sur la voie publique 2026 à 2031 inclus</w:t>
      </w:r>
    </w:p>
    <w:p w14:paraId="3EBD4CC9" w14:textId="77777777" w:rsidR="008704B7" w:rsidRDefault="00AA79C0">
      <w:pPr>
        <w:pStyle w:val="TableContents"/>
        <w:spacing w:after="113"/>
        <w:ind w:left="1134" w:hanging="1134"/>
        <w:rPr>
          <w:lang w:val="fr-BE"/>
        </w:rPr>
      </w:pPr>
      <w:r>
        <w:rPr>
          <w:lang w:val="fr-BE"/>
        </w:rPr>
        <w:t>S.P.17</w:t>
      </w:r>
      <w:r>
        <w:rPr>
          <w:lang w:val="fr-BE"/>
        </w:rPr>
        <w:tab/>
      </w:r>
      <w:r>
        <w:rPr>
          <w:szCs w:val="22"/>
          <w:lang w:val="fr-BE"/>
        </w:rPr>
        <w:t xml:space="preserve">Pôle Finances - Service des Finances - </w:t>
      </w:r>
      <w:proofErr w:type="spellStart"/>
      <w:r>
        <w:rPr>
          <w:szCs w:val="22"/>
          <w:lang w:val="fr-BE"/>
        </w:rPr>
        <w:t>Règlement-taxe</w:t>
      </w:r>
      <w:proofErr w:type="spellEnd"/>
      <w:r>
        <w:rPr>
          <w:szCs w:val="22"/>
          <w:lang w:val="fr-BE"/>
        </w:rPr>
        <w:t xml:space="preserve"> communale indirecte sur la distribution gratuite d'écrits et d’échantillons non adressés qu’ils soient publicitaires ou émanant de la presse régionale gratuite 2026 à 2031 inclus</w:t>
      </w:r>
    </w:p>
    <w:p w14:paraId="7F3798DD" w14:textId="77777777" w:rsidR="008704B7" w:rsidRDefault="00AA79C0">
      <w:pPr>
        <w:pStyle w:val="TableContents"/>
        <w:spacing w:after="113"/>
        <w:ind w:left="1134" w:hanging="1134"/>
        <w:rPr>
          <w:lang w:val="fr-BE"/>
        </w:rPr>
      </w:pPr>
      <w:r>
        <w:rPr>
          <w:lang w:val="fr-BE"/>
        </w:rPr>
        <w:t>S.P.18</w:t>
      </w:r>
      <w:r>
        <w:rPr>
          <w:lang w:val="fr-BE"/>
        </w:rPr>
        <w:tab/>
      </w:r>
      <w:r>
        <w:rPr>
          <w:szCs w:val="22"/>
          <w:lang w:val="fr-BE"/>
        </w:rPr>
        <w:t>Pôle Finances - Service des Finances - Règlement-taxe sur les enseignes et publicités assimilées obsolètes 2026 - 2031 inclus</w:t>
      </w:r>
    </w:p>
    <w:p w14:paraId="12F056B7" w14:textId="77777777" w:rsidR="008704B7" w:rsidRDefault="00AA79C0">
      <w:pPr>
        <w:pStyle w:val="TableContents"/>
        <w:spacing w:after="113"/>
        <w:ind w:left="1134" w:hanging="1134"/>
        <w:rPr>
          <w:lang w:val="fr-BE"/>
        </w:rPr>
      </w:pPr>
      <w:r>
        <w:rPr>
          <w:lang w:val="fr-BE"/>
        </w:rPr>
        <w:t>S.P.19</w:t>
      </w:r>
      <w:r>
        <w:rPr>
          <w:lang w:val="fr-BE"/>
        </w:rPr>
        <w:tab/>
      </w:r>
      <w:r>
        <w:rPr>
          <w:szCs w:val="22"/>
          <w:lang w:val="fr-BE"/>
        </w:rPr>
        <w:t>Pôle Finances - Service des Finances - Règlement-taxe sur l'exploitation d'une loge foraine 2026 - 2031 inclus</w:t>
      </w:r>
    </w:p>
    <w:p w14:paraId="293B6AD8" w14:textId="77777777" w:rsidR="008704B7" w:rsidRDefault="00AA79C0">
      <w:pPr>
        <w:pStyle w:val="TableContents"/>
        <w:spacing w:after="113"/>
        <w:ind w:left="1134" w:hanging="1134"/>
        <w:rPr>
          <w:lang w:val="fr-BE"/>
        </w:rPr>
      </w:pPr>
      <w:r>
        <w:rPr>
          <w:lang w:val="fr-BE"/>
        </w:rPr>
        <w:t>S.P.20</w:t>
      </w:r>
      <w:r>
        <w:rPr>
          <w:lang w:val="fr-BE"/>
        </w:rPr>
        <w:tab/>
      </w:r>
      <w:r>
        <w:rPr>
          <w:szCs w:val="22"/>
          <w:lang w:val="fr-BE"/>
        </w:rPr>
        <w:t>Pôle Finances - Service des Finances - Règlement-taxe communale sur les immeubles bâtis inoccupés ou délabrés ou les deux 2026 - 2031 inclus</w:t>
      </w:r>
    </w:p>
    <w:p w14:paraId="677EBB6E" w14:textId="77777777" w:rsidR="008704B7" w:rsidRDefault="00AA79C0">
      <w:pPr>
        <w:pStyle w:val="TableContents"/>
        <w:spacing w:after="113"/>
        <w:ind w:left="1134" w:hanging="1134"/>
        <w:rPr>
          <w:lang w:val="fr-BE"/>
        </w:rPr>
      </w:pPr>
      <w:r>
        <w:rPr>
          <w:lang w:val="fr-BE"/>
        </w:rPr>
        <w:t>S.P.21</w:t>
      </w:r>
      <w:r>
        <w:rPr>
          <w:lang w:val="fr-BE"/>
        </w:rPr>
        <w:tab/>
      </w:r>
      <w:r>
        <w:rPr>
          <w:szCs w:val="22"/>
          <w:lang w:val="fr-BE"/>
        </w:rPr>
        <w:t>Pôle Finances - Service des Finances - Règlement-redevance pour l'occupation du domaine public par le placement de terrasses, de tables et de chaises sur des emplacements de stationnement de la zone réglementée payante en voirie et en zone payante munie de barrières d’accès 2026-2031 inclus</w:t>
      </w:r>
    </w:p>
    <w:p w14:paraId="03E9586F" w14:textId="77777777" w:rsidR="008704B7" w:rsidRDefault="00AA79C0">
      <w:pPr>
        <w:pStyle w:val="TableContents"/>
        <w:spacing w:after="113"/>
        <w:ind w:left="1134" w:hanging="1134"/>
        <w:rPr>
          <w:lang w:val="fr-BE"/>
        </w:rPr>
      </w:pPr>
      <w:r>
        <w:rPr>
          <w:lang w:val="fr-BE"/>
        </w:rPr>
        <w:t>S.P.22</w:t>
      </w:r>
      <w:r>
        <w:rPr>
          <w:lang w:val="fr-BE"/>
        </w:rPr>
        <w:tab/>
      </w:r>
      <w:r>
        <w:rPr>
          <w:szCs w:val="22"/>
          <w:lang w:val="fr-BE"/>
        </w:rPr>
        <w:t>Pôle Finances - Service des Finances - Règlement-redevance communale sur l’occupation du domaine public lors de travaux de construction, démolition, reconstruction, aménagement ou transformation d’un bien immobilier 2026 - 2031 inclus</w:t>
      </w:r>
    </w:p>
    <w:p w14:paraId="29F25C43" w14:textId="77777777" w:rsidR="008704B7" w:rsidRDefault="00AA79C0">
      <w:pPr>
        <w:pStyle w:val="TableContents"/>
        <w:spacing w:after="113"/>
        <w:ind w:left="1134" w:hanging="1134"/>
        <w:rPr>
          <w:lang w:val="fr-BE"/>
        </w:rPr>
      </w:pPr>
      <w:r>
        <w:rPr>
          <w:lang w:val="fr-BE"/>
        </w:rPr>
        <w:t>S.P.23</w:t>
      </w:r>
      <w:r>
        <w:rPr>
          <w:lang w:val="fr-BE"/>
        </w:rPr>
        <w:tab/>
      </w:r>
      <w:r>
        <w:rPr>
          <w:szCs w:val="22"/>
          <w:lang w:val="fr-BE"/>
        </w:rPr>
        <w:t>Pôle Finances - Service des Finances - Règlement-redevance sur certains services offerts au sein des accueillantes d’enfants conventionnées 2026-2031 inclus</w:t>
      </w:r>
    </w:p>
    <w:p w14:paraId="51CA4A2F" w14:textId="77777777" w:rsidR="008704B7" w:rsidRDefault="00AA79C0">
      <w:pPr>
        <w:pStyle w:val="TableContents"/>
        <w:spacing w:after="113"/>
        <w:ind w:left="1134" w:hanging="1134"/>
        <w:rPr>
          <w:lang w:val="fr-BE"/>
        </w:rPr>
      </w:pPr>
      <w:r>
        <w:rPr>
          <w:lang w:val="fr-BE"/>
        </w:rPr>
        <w:t>S.P.24</w:t>
      </w:r>
      <w:r>
        <w:rPr>
          <w:lang w:val="fr-BE"/>
        </w:rPr>
        <w:tab/>
      </w:r>
      <w:r>
        <w:rPr>
          <w:szCs w:val="22"/>
          <w:lang w:val="fr-BE"/>
        </w:rPr>
        <w:t>Pôle Finances - Service des Finances - Règlement-redevance sur certains services offerts au sein des crèches communales 2026-2031 inclus</w:t>
      </w:r>
    </w:p>
    <w:p w14:paraId="588CD0BA" w14:textId="77777777" w:rsidR="008704B7" w:rsidRDefault="00AA79C0">
      <w:pPr>
        <w:pStyle w:val="TableContents"/>
        <w:spacing w:after="113"/>
        <w:ind w:left="1134" w:hanging="1134"/>
        <w:rPr>
          <w:lang w:val="fr-BE"/>
        </w:rPr>
      </w:pPr>
      <w:r>
        <w:rPr>
          <w:lang w:val="fr-BE"/>
        </w:rPr>
        <w:t>S.P.25</w:t>
      </w:r>
      <w:r>
        <w:rPr>
          <w:lang w:val="fr-BE"/>
        </w:rPr>
        <w:tab/>
      </w:r>
      <w:r>
        <w:rPr>
          <w:szCs w:val="22"/>
          <w:lang w:val="fr-BE"/>
        </w:rPr>
        <w:t>Pôle Finances - Service des Finances - Règlement-redevance pour le placement de miroirs directionnels à utilisation individuelle 2026 à 2031 inclus</w:t>
      </w:r>
    </w:p>
    <w:p w14:paraId="2D305FBD" w14:textId="77777777" w:rsidR="008704B7" w:rsidRDefault="00AA79C0">
      <w:pPr>
        <w:pStyle w:val="TableContents"/>
        <w:spacing w:after="113"/>
        <w:ind w:left="1134" w:hanging="1134"/>
        <w:rPr>
          <w:lang w:val="fr-BE"/>
        </w:rPr>
      </w:pPr>
      <w:r>
        <w:rPr>
          <w:lang w:val="fr-BE"/>
        </w:rPr>
        <w:t>S.P.26</w:t>
      </w:r>
      <w:r>
        <w:rPr>
          <w:lang w:val="fr-BE"/>
        </w:rPr>
        <w:tab/>
      </w:r>
      <w:r>
        <w:rPr>
          <w:szCs w:val="22"/>
          <w:lang w:val="fr-BE"/>
        </w:rPr>
        <w:t>Pôle Finances - Service des Finances - Règlement-redevance communale sur l'occupation privative du domaine public par un commerce de frites 2026-2031 inclus</w:t>
      </w:r>
    </w:p>
    <w:p w14:paraId="33D5AC47" w14:textId="77777777" w:rsidR="008704B7" w:rsidRDefault="00AA79C0">
      <w:pPr>
        <w:pStyle w:val="TableContents"/>
        <w:spacing w:after="113"/>
        <w:ind w:left="1134" w:hanging="1134"/>
        <w:rPr>
          <w:lang w:val="fr-BE"/>
        </w:rPr>
      </w:pPr>
      <w:r>
        <w:rPr>
          <w:lang w:val="fr-BE"/>
        </w:rPr>
        <w:t>S.P.27</w:t>
      </w:r>
      <w:r>
        <w:rPr>
          <w:lang w:val="fr-BE"/>
        </w:rPr>
        <w:tab/>
      </w:r>
      <w:r>
        <w:rPr>
          <w:szCs w:val="22"/>
          <w:lang w:val="fr-BE"/>
        </w:rPr>
        <w:t>Pôle Finances - Service des Finances - Règlement-redevance communale sur l'occupation du domaine public à l'occasion des marchés communaux 2026 - 2031</w:t>
      </w:r>
    </w:p>
    <w:p w14:paraId="273EF8BC" w14:textId="77777777" w:rsidR="008704B7" w:rsidRDefault="00AA79C0">
      <w:pPr>
        <w:pStyle w:val="TableContents"/>
        <w:spacing w:after="113"/>
        <w:ind w:left="1134" w:hanging="1134"/>
        <w:rPr>
          <w:lang w:val="fr-BE"/>
        </w:rPr>
      </w:pPr>
      <w:r>
        <w:rPr>
          <w:lang w:val="fr-BE"/>
        </w:rPr>
        <w:t>S.P.28</w:t>
      </w:r>
      <w:r>
        <w:rPr>
          <w:lang w:val="fr-BE"/>
        </w:rPr>
        <w:tab/>
      </w:r>
      <w:r>
        <w:rPr>
          <w:szCs w:val="22"/>
          <w:lang w:val="fr-BE"/>
        </w:rPr>
        <w:t xml:space="preserve">Pôle Finances - Service des Finances - </w:t>
      </w:r>
      <w:proofErr w:type="spellStart"/>
      <w:r>
        <w:rPr>
          <w:szCs w:val="22"/>
          <w:lang w:val="fr-BE"/>
        </w:rPr>
        <w:t>Règlement-taxes</w:t>
      </w:r>
      <w:proofErr w:type="spellEnd"/>
      <w:r>
        <w:rPr>
          <w:szCs w:val="22"/>
          <w:lang w:val="fr-BE"/>
        </w:rPr>
        <w:t xml:space="preserve"> sur les spectacles et divertissements 2026 - 2031 inclus</w:t>
      </w:r>
    </w:p>
    <w:p w14:paraId="35D90F14" w14:textId="77777777" w:rsidR="008704B7" w:rsidRDefault="00AA79C0">
      <w:pPr>
        <w:pStyle w:val="TableContents"/>
        <w:spacing w:after="113"/>
        <w:ind w:left="1134" w:hanging="1134"/>
        <w:rPr>
          <w:lang w:val="fr-BE"/>
        </w:rPr>
      </w:pPr>
      <w:r>
        <w:rPr>
          <w:lang w:val="fr-BE"/>
        </w:rPr>
        <w:lastRenderedPageBreak/>
        <w:t>S.P.29</w:t>
      </w:r>
      <w:r>
        <w:rPr>
          <w:lang w:val="fr-BE"/>
        </w:rPr>
        <w:tab/>
      </w:r>
      <w:r>
        <w:rPr>
          <w:szCs w:val="22"/>
          <w:lang w:val="fr-BE"/>
        </w:rPr>
        <w:t>Pôle des finances - Règlement redevance sur les célébrations de mariage exercices 2026-2031 inclus</w:t>
      </w:r>
    </w:p>
    <w:p w14:paraId="7E60E954" w14:textId="03CA2CEB" w:rsidR="008704B7" w:rsidRDefault="00AA79C0" w:rsidP="00BE74B8">
      <w:pPr>
        <w:pStyle w:val="TableContents"/>
        <w:spacing w:after="113"/>
        <w:ind w:left="1134" w:hanging="1134"/>
        <w:rPr>
          <w:lang w:val="fr-BE"/>
        </w:rPr>
      </w:pPr>
      <w:r>
        <w:rPr>
          <w:lang w:val="fr-BE"/>
        </w:rPr>
        <w:t>S.P.30</w:t>
      </w:r>
      <w:r>
        <w:rPr>
          <w:lang w:val="fr-BE"/>
        </w:rPr>
        <w:tab/>
      </w:r>
      <w:r>
        <w:rPr>
          <w:szCs w:val="22"/>
          <w:lang w:val="fr-BE"/>
        </w:rPr>
        <w:t>Questions d'actualité</w:t>
      </w:r>
    </w:p>
    <w:p w14:paraId="5B4CE52D" w14:textId="77777777" w:rsidR="008704B7" w:rsidRDefault="008704B7" w:rsidP="00BE74B8">
      <w:pPr>
        <w:tabs>
          <w:tab w:val="left" w:pos="567"/>
        </w:tabs>
        <w:spacing w:after="0"/>
        <w:rPr>
          <w:lang w:val="fr-BE"/>
        </w:rPr>
      </w:pPr>
    </w:p>
    <w:p w14:paraId="3000E716" w14:textId="77777777" w:rsidR="008704B7" w:rsidRDefault="008704B7">
      <w:pPr>
        <w:tabs>
          <w:tab w:val="left" w:pos="567"/>
        </w:tabs>
        <w:spacing w:after="0"/>
        <w:ind w:left="567" w:hanging="567"/>
        <w:rPr>
          <w:lang w:val="fr-BE"/>
        </w:rPr>
      </w:pPr>
    </w:p>
    <w:p w14:paraId="2DADF482" w14:textId="77777777" w:rsidR="008704B7" w:rsidRDefault="008704B7">
      <w:pPr>
        <w:tabs>
          <w:tab w:val="left" w:pos="567"/>
        </w:tabs>
        <w:ind w:left="567" w:hanging="567"/>
        <w:rPr>
          <w:szCs w:val="22"/>
        </w:rPr>
      </w:pPr>
    </w:p>
    <w:sectPr w:rsidR="008704B7">
      <w:headerReference w:type="default" r:id="rId8"/>
      <w:footerReference w:type="default" r:id="rId9"/>
      <w:pgSz w:w="11906" w:h="16838"/>
      <w:pgMar w:top="1134" w:right="1418" w:bottom="1134" w:left="1418" w:header="720" w:footer="72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B780" w14:textId="77777777" w:rsidR="001461B1" w:rsidRDefault="001461B1">
      <w:pPr>
        <w:spacing w:after="0"/>
      </w:pPr>
      <w:r>
        <w:separator/>
      </w:r>
    </w:p>
  </w:endnote>
  <w:endnote w:type="continuationSeparator" w:id="0">
    <w:p w14:paraId="0624EFB2" w14:textId="77777777" w:rsidR="001461B1" w:rsidRDefault="001461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default"/>
  </w:font>
  <w:font w:name="Varela Round">
    <w:charset w:val="B1"/>
    <w:family w:val="auto"/>
    <w:pitch w:val="variable"/>
    <w:sig w:usb0="20000807" w:usb1="00000003" w:usb2="00000000" w:usb3="00000000" w:csb0="000001B3" w:csb1="00000000"/>
  </w:font>
  <w:font w:name="Museo Sans Rounded 100">
    <w:charset w:val="01"/>
    <w:family w:val="roman"/>
    <w:pitch w:val="variable"/>
  </w:font>
  <w:font w:name="Liberation Sans">
    <w:altName w:val="Arial"/>
    <w:panose1 w:val="020B0604020202020204"/>
    <w:charset w:val="01"/>
    <w:family w:val="swiss"/>
    <w:pitch w:val="variable"/>
  </w:font>
  <w:font w:name="Droid Sans">
    <w:panose1 w:val="00000000000000000000"/>
    <w:charset w:val="00"/>
    <w:family w:val="roman"/>
    <w:notTrueType/>
    <w:pitch w:val="default"/>
  </w:font>
  <w:font w:name="Lohit Hindi">
    <w:panose1 w:val="00000000000000000000"/>
    <w:charset w:val="00"/>
    <w:family w:val="roman"/>
    <w:notTrueType/>
    <w:pitch w:val="default"/>
  </w:font>
  <w:font w:name="Courier">
    <w:panose1 w:val="02070409020205020404"/>
    <w:charset w:val="01"/>
    <w:family w:val="roman"/>
    <w:pitch w:val="variable"/>
  </w:font>
  <w:font w:name="Tahoma">
    <w:panose1 w:val="020B0604030504040204"/>
    <w:charset w:val="01"/>
    <w:family w:val="roman"/>
    <w:pitch w:val="variable"/>
  </w:font>
  <w:font w:name="Calibri">
    <w:panose1 w:val="020F0502020204030204"/>
    <w:charset w:val="01"/>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8C89" w14:textId="77777777" w:rsidR="008704B7" w:rsidRDefault="00AA79C0">
    <w:pPr>
      <w:pStyle w:val="Pieddepage"/>
      <w:jc w:val="right"/>
    </w:pPr>
    <w:r>
      <w:rPr>
        <w:sz w:val="20"/>
      </w:rPr>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sur </w:t>
    </w:r>
    <w:r>
      <w:rPr>
        <w:sz w:val="20"/>
      </w:rPr>
      <w:fldChar w:fldCharType="begin"/>
    </w:r>
    <w:r>
      <w:rPr>
        <w:sz w:val="20"/>
      </w:rPr>
      <w:instrText xml:space="preserve"> NUMPAGES </w:instrText>
    </w:r>
    <w:r>
      <w:rPr>
        <w:sz w:val="20"/>
      </w:rPr>
      <w:fldChar w:fldCharType="separate"/>
    </w:r>
    <w:r>
      <w:rPr>
        <w:sz w:val="20"/>
      </w:rPr>
      <w:t>4</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832C9" w14:textId="77777777" w:rsidR="001461B1" w:rsidRDefault="001461B1">
      <w:pPr>
        <w:spacing w:after="0"/>
      </w:pPr>
      <w:r>
        <w:separator/>
      </w:r>
    </w:p>
  </w:footnote>
  <w:footnote w:type="continuationSeparator" w:id="0">
    <w:p w14:paraId="088D5974" w14:textId="77777777" w:rsidR="001461B1" w:rsidRDefault="001461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E7DD" w14:textId="77777777" w:rsidR="008704B7" w:rsidRDefault="008704B7">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570"/>
    <w:multiLevelType w:val="multilevel"/>
    <w:tmpl w:val="45E4B16E"/>
    <w:lvl w:ilvl="0">
      <w:start w:val="1"/>
      <w:numFmt w:val="decimal"/>
      <w:pStyle w:val="podNumberItem"/>
      <w:lvlText w:val="%1."/>
      <w:lvlJc w:val="left"/>
      <w:pPr>
        <w:tabs>
          <w:tab w:val="num" w:pos="922"/>
        </w:tabs>
        <w:ind w:left="922" w:hanging="461"/>
      </w:pPr>
    </w:lvl>
    <w:lvl w:ilvl="1">
      <w:start w:val="1"/>
      <w:numFmt w:val="decimal"/>
      <w:lvlText w:val="%2."/>
      <w:lvlJc w:val="left"/>
      <w:pPr>
        <w:tabs>
          <w:tab w:val="num" w:pos="1383"/>
        </w:tabs>
        <w:ind w:left="1383" w:hanging="461"/>
      </w:pPr>
    </w:lvl>
    <w:lvl w:ilvl="2">
      <w:start w:val="1"/>
      <w:numFmt w:val="decimal"/>
      <w:lvlText w:val="%3."/>
      <w:lvlJc w:val="left"/>
      <w:pPr>
        <w:tabs>
          <w:tab w:val="num" w:pos="1843"/>
        </w:tabs>
        <w:ind w:left="1843" w:hanging="461"/>
      </w:pPr>
    </w:lvl>
    <w:lvl w:ilvl="3">
      <w:start w:val="1"/>
      <w:numFmt w:val="decimal"/>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81D7414"/>
    <w:multiLevelType w:val="multilevel"/>
    <w:tmpl w:val="D220C07E"/>
    <w:lvl w:ilvl="0">
      <w:start w:val="1"/>
      <w:numFmt w:val="bullet"/>
      <w:pStyle w:val="podBulletItem"/>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D7736F4"/>
    <w:multiLevelType w:val="multilevel"/>
    <w:tmpl w:val="CDC24012"/>
    <w:lvl w:ilvl="0">
      <w:start w:val="1"/>
      <w:numFmt w:val="upperLetter"/>
      <w:lvlText w:val="%1."/>
      <w:lvlJc w:val="left"/>
      <w:pPr>
        <w:tabs>
          <w:tab w:val="num" w:pos="720"/>
        </w:tabs>
        <w:ind w:left="720" w:hanging="363"/>
      </w:pPr>
      <w:rPr>
        <w:rFonts w:ascii="Varela Round" w:hAnsi="Varela Round"/>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FAF3170"/>
    <w:multiLevelType w:val="multilevel"/>
    <w:tmpl w:val="9A74DEAE"/>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num w:numId="1" w16cid:durableId="930049728">
    <w:abstractNumId w:val="2"/>
  </w:num>
  <w:num w:numId="2" w16cid:durableId="1687172968">
    <w:abstractNumId w:val="0"/>
  </w:num>
  <w:num w:numId="3" w16cid:durableId="537351930">
    <w:abstractNumId w:val="1"/>
  </w:num>
  <w:num w:numId="4" w16cid:durableId="1926453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4B7"/>
    <w:rsid w:val="001461B1"/>
    <w:rsid w:val="00862897"/>
    <w:rsid w:val="008704B7"/>
    <w:rsid w:val="00AA79C0"/>
    <w:rsid w:val="00B0786D"/>
    <w:rsid w:val="00BE74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086D"/>
  <w15:docId w15:val="{5E75CB8D-1E39-4C50-A381-60330019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2"/>
        <w:lang w:val="fr-BE" w:eastAsia="fr-B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jc w:val="both"/>
    </w:pPr>
    <w:rPr>
      <w:rFonts w:ascii="Varela Round" w:hAnsi="Varela Round"/>
      <w:lang w:val="fr-FR" w:eastAsia="fr-FR"/>
    </w:rPr>
  </w:style>
  <w:style w:type="paragraph" w:styleId="Titre1">
    <w:name w:val="heading 1"/>
    <w:basedOn w:val="Normal"/>
    <w:next w:val="Normal"/>
    <w:uiPriority w:val="9"/>
    <w:qFormat/>
    <w:pPr>
      <w:keepNext/>
      <w:outlineLvl w:val="0"/>
    </w:pPr>
    <w:rPr>
      <w:b/>
      <w:sz w:val="36"/>
    </w:rPr>
  </w:style>
  <w:style w:type="paragraph" w:styleId="Titre2">
    <w:name w:val="heading 2"/>
    <w:basedOn w:val="Normal"/>
    <w:next w:val="Normal"/>
    <w:uiPriority w:val="9"/>
    <w:unhideWhenUsed/>
    <w:qFormat/>
    <w:pPr>
      <w:keepNext/>
      <w:tabs>
        <w:tab w:val="left" w:pos="0"/>
        <w:tab w:val="left" w:pos="720"/>
      </w:tabs>
      <w:ind w:left="1440" w:hanging="1440"/>
      <w:outlineLvl w:val="1"/>
    </w:pPr>
    <w:rPr>
      <w:rFonts w:ascii="Times New Roman" w:hAnsi="Times New Roman"/>
      <w:sz w:val="24"/>
    </w:rPr>
  </w:style>
  <w:style w:type="paragraph" w:styleId="Titre3">
    <w:name w:val="heading 3"/>
    <w:basedOn w:val="Normal"/>
    <w:next w:val="Normal"/>
    <w:uiPriority w:val="9"/>
    <w:unhideWhenUsed/>
    <w:qFormat/>
    <w:pPr>
      <w:keepNext/>
      <w:ind w:left="709" w:hanging="709"/>
      <w:outlineLvl w:val="2"/>
    </w:pPr>
    <w:rPr>
      <w:b/>
      <w:sz w:val="28"/>
      <w:u w:val="single"/>
    </w:rPr>
  </w:style>
  <w:style w:type="paragraph" w:styleId="Titre4">
    <w:name w:val="heading 4"/>
    <w:basedOn w:val="Normal"/>
    <w:next w:val="Normal"/>
    <w:uiPriority w:val="9"/>
    <w:semiHidden/>
    <w:unhideWhenUsed/>
    <w:qFormat/>
    <w:pPr>
      <w:keepNext/>
      <w:outlineLvl w:val="3"/>
    </w:pPr>
    <w:rPr>
      <w:b/>
      <w:sz w:val="28"/>
      <w:u w:val="single"/>
    </w:rPr>
  </w:style>
  <w:style w:type="paragraph" w:styleId="Titre5">
    <w:name w:val="heading 5"/>
    <w:basedOn w:val="Normal"/>
    <w:next w:val="Normal"/>
    <w:uiPriority w:val="9"/>
    <w:semiHidden/>
    <w:unhideWhenUsed/>
    <w:qFormat/>
    <w:pPr>
      <w:keepNext/>
      <w:ind w:left="851" w:hanging="851"/>
      <w:outlineLvl w:val="4"/>
    </w:pPr>
    <w:rPr>
      <w:b/>
      <w:u w:val="single"/>
    </w:rPr>
  </w:style>
  <w:style w:type="paragraph" w:styleId="Titre6">
    <w:name w:val="heading 6"/>
    <w:basedOn w:val="Normal"/>
    <w:next w:val="Normal"/>
    <w:uiPriority w:val="9"/>
    <w:semiHidden/>
    <w:unhideWhenUsed/>
    <w:qFormat/>
    <w:pPr>
      <w:keepNext/>
      <w:ind w:left="851" w:right="283" w:hanging="851"/>
      <w:outlineLvl w:val="5"/>
    </w:pPr>
    <w:rPr>
      <w:sz w:val="24"/>
    </w:rPr>
  </w:style>
  <w:style w:type="paragraph" w:styleId="Titre7">
    <w:name w:val="heading 7"/>
    <w:basedOn w:val="Normal"/>
    <w:next w:val="Normal"/>
    <w:qFormat/>
    <w:pPr>
      <w:keepNext/>
      <w:ind w:left="851" w:hanging="851"/>
      <w:outlineLvl w:val="6"/>
    </w:pPr>
    <w:rPr>
      <w:b/>
      <w:sz w:val="24"/>
    </w:rPr>
  </w:style>
  <w:style w:type="paragraph" w:styleId="Titre8">
    <w:name w:val="heading 8"/>
    <w:basedOn w:val="Normal"/>
    <w:next w:val="Normal"/>
    <w:qFormat/>
    <w:pPr>
      <w:keepNext/>
      <w:ind w:left="2976"/>
      <w:outlineLvl w:val="7"/>
    </w:pPr>
    <w:rPr>
      <w:sz w:val="28"/>
    </w:rPr>
  </w:style>
  <w:style w:type="paragraph" w:styleId="Titre9">
    <w:name w:val="heading 9"/>
    <w:basedOn w:val="Normal"/>
    <w:next w:val="Normal"/>
    <w:qFormat/>
    <w:pPr>
      <w:keepNext/>
      <w:ind w:left="851" w:hanging="851"/>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style>
  <w:style w:type="character" w:styleId="Numrodepage">
    <w:name w:val="page number"/>
    <w:basedOn w:val="Policepardfaut"/>
    <w:qFormat/>
  </w:style>
  <w:style w:type="character" w:styleId="Marquedecommentaire">
    <w:name w:val="annotation reference"/>
    <w:qFormat/>
    <w:rPr>
      <w:sz w:val="16"/>
      <w:szCs w:val="16"/>
    </w:rPr>
  </w:style>
  <w:style w:type="character" w:customStyle="1" w:styleId="Titre2Car">
    <w:name w:val="Titre 2 Car"/>
    <w:qFormat/>
    <w:rPr>
      <w:sz w:val="24"/>
      <w:lang w:val="fr-FR" w:eastAsia="fr-FR"/>
    </w:rPr>
  </w:style>
  <w:style w:type="character" w:customStyle="1" w:styleId="st">
    <w:name w:val="st"/>
    <w:qFormat/>
  </w:style>
  <w:style w:type="character" w:customStyle="1" w:styleId="alinea">
    <w:name w:val="alinea"/>
    <w:qFormat/>
  </w:style>
  <w:style w:type="character" w:styleId="lev">
    <w:name w:val="Strong"/>
    <w:qFormat/>
    <w:rPr>
      <w:b/>
      <w:bCs/>
    </w:rPr>
  </w:style>
  <w:style w:type="character" w:customStyle="1" w:styleId="PieddepageCar">
    <w:name w:val="Pied de page Car"/>
    <w:basedOn w:val="Policepardfaut"/>
    <w:qFormat/>
    <w:rPr>
      <w:rFonts w:ascii="Museo Sans Rounded 100" w:hAnsi="Museo Sans Rounded 100"/>
      <w:sz w:val="22"/>
      <w:lang w:val="fr-FR" w:eastAsia="fr-FR"/>
    </w:rPr>
  </w:style>
  <w:style w:type="character" w:customStyle="1" w:styleId="NumberingSymbols">
    <w:name w:val="Numbering Symbols"/>
    <w:qFormat/>
  </w:style>
  <w:style w:type="paragraph" w:customStyle="1" w:styleId="ParaKWN">
    <w:name w:val="ParaKWN"/>
    <w:basedOn w:val="Normal"/>
    <w:qFormat/>
    <w:pPr>
      <w:keepNext/>
    </w:pPr>
  </w:style>
  <w:style w:type="paragraph" w:customStyle="1" w:styleId="Heading">
    <w:name w:val="Heading"/>
    <w:basedOn w:val="Normal"/>
    <w:next w:val="Corpsdetexte"/>
    <w:qFormat/>
    <w:pPr>
      <w:keepNext/>
      <w:spacing w:before="240" w:after="120"/>
    </w:pPr>
    <w:rPr>
      <w:rFonts w:ascii="Liberation Sans" w:eastAsia="Droid Sans" w:hAnsi="Liberation Sans" w:cs="Lohit Hindi"/>
      <w:sz w:val="28"/>
      <w:szCs w:val="28"/>
    </w:rPr>
  </w:style>
  <w:style w:type="paragraph" w:customStyle="1" w:styleId="podPageBreakBefore">
    <w:name w:val="podPageBreakBefore"/>
    <w:qFormat/>
    <w:pPr>
      <w:pageBreakBefore/>
      <w:widowControl w:val="0"/>
    </w:pPr>
    <w:rPr>
      <w:sz w:val="4"/>
    </w:rPr>
  </w:style>
  <w:style w:type="paragraph" w:customStyle="1" w:styleId="podPageBreakBeforeDuplex">
    <w:name w:val="podPageBreakBeforeDuplex"/>
    <w:basedOn w:val="podPageBreakBefore"/>
    <w:qFormat/>
  </w:style>
  <w:style w:type="paragraph" w:customStyle="1" w:styleId="podPageBreakAfter">
    <w:name w:val="podPageBreakAfter"/>
    <w:qFormat/>
    <w:pPr>
      <w:widowControl w:val="0"/>
    </w:pPr>
    <w:rPr>
      <w:sz w:val="4"/>
    </w:rPr>
  </w:style>
  <w:style w:type="paragraph" w:customStyle="1" w:styleId="podColumnBreak">
    <w:name w:val="podColumnBreak"/>
    <w:qFormat/>
    <w:pPr>
      <w:widowControl w:val="0"/>
    </w:pPr>
  </w:style>
  <w:style w:type="paragraph" w:customStyle="1" w:styleId="podBulletItem">
    <w:name w:val="podBulletItem"/>
    <w:basedOn w:val="Normal"/>
    <w:qFormat/>
    <w:pPr>
      <w:numPr>
        <w:numId w:val="3"/>
      </w:numPr>
    </w:pPr>
  </w:style>
  <w:style w:type="paragraph" w:customStyle="1" w:styleId="podNumberItem">
    <w:name w:val="podNumberItem"/>
    <w:basedOn w:val="Normal"/>
    <w:qFormat/>
    <w:pPr>
      <w:numPr>
        <w:numId w:val="2"/>
      </w:numPr>
    </w:pPr>
  </w:style>
  <w:style w:type="paragraph" w:customStyle="1" w:styleId="podBulletItemKeepWithNext">
    <w:name w:val="podBulletItemKeepWithNext"/>
    <w:basedOn w:val="Normal"/>
    <w:qFormat/>
    <w:pPr>
      <w:keepNext/>
      <w:tabs>
        <w:tab w:val="num" w:pos="922"/>
      </w:tabs>
      <w:ind w:left="922" w:hanging="461"/>
    </w:pPr>
  </w:style>
  <w:style w:type="paragraph" w:customStyle="1" w:styleId="podNumberItemKeepWithNext">
    <w:name w:val="podNumberItemKeepWithNext"/>
    <w:basedOn w:val="Normal"/>
    <w:qFormat/>
    <w:pPr>
      <w:keepNext/>
      <w:tabs>
        <w:tab w:val="num" w:pos="922"/>
      </w:tabs>
      <w:ind w:left="922" w:hanging="461"/>
    </w:pPr>
  </w:style>
  <w:style w:type="paragraph" w:customStyle="1" w:styleId="Tablecell">
    <w:name w:val="Table cell"/>
    <w:basedOn w:val="Normal"/>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Corpsdetexte">
    <w:name w:val="Body Text"/>
    <w:basedOn w:val="Normal"/>
    <w:pPr>
      <w:ind w:right="283"/>
    </w:pPr>
  </w:style>
  <w:style w:type="paragraph" w:styleId="Liste">
    <w:name w:val="List"/>
    <w:basedOn w:val="Corpsdetexte"/>
    <w:rPr>
      <w:rFonts w:cs="Lohit Hindi"/>
    </w:rPr>
  </w:style>
  <w:style w:type="paragraph" w:styleId="Lgende">
    <w:name w:val="caption"/>
    <w:basedOn w:val="Normal"/>
    <w:qFormat/>
    <w:pPr>
      <w:suppressLineNumbers/>
      <w:spacing w:before="120" w:after="120"/>
    </w:pPr>
    <w:rPr>
      <w:rFonts w:cs="Lohit Hindi"/>
      <w:i/>
      <w:iCs/>
      <w:sz w:val="24"/>
      <w:szCs w:val="24"/>
    </w:rPr>
  </w:style>
  <w:style w:type="paragraph" w:customStyle="1" w:styleId="Index">
    <w:name w:val="Index"/>
    <w:basedOn w:val="Normal"/>
    <w:qFormat/>
    <w:pPr>
      <w:suppressLineNumbers/>
    </w:pPr>
    <w:rPr>
      <w:rFonts w:cs="Lohit Hindi"/>
    </w:rPr>
  </w:style>
  <w:style w:type="paragraph" w:customStyle="1" w:styleId="entecou">
    <w:name w:val="ente_cou"/>
    <w:basedOn w:val="Normal"/>
    <w:qFormat/>
    <w:rPr>
      <w:sz w:val="24"/>
    </w:rPr>
  </w:style>
  <w:style w:type="paragraph" w:customStyle="1" w:styleId="entete">
    <w:name w:val="entete"/>
    <w:basedOn w:val="Normal"/>
    <w:qFormat/>
    <w:pPr>
      <w:tabs>
        <w:tab w:val="left" w:pos="1418"/>
      </w:tabs>
    </w:pPr>
    <w:rPr>
      <w:sz w:val="24"/>
    </w:rPr>
  </w:style>
  <w:style w:type="paragraph" w:customStyle="1" w:styleId="dcision">
    <w:name w:val="décision"/>
    <w:basedOn w:val="Normal"/>
    <w:qFormat/>
    <w:pPr>
      <w:ind w:left="1418"/>
    </w:pPr>
    <w:rPr>
      <w:sz w:val="24"/>
    </w:rPr>
  </w:style>
  <w:style w:type="paragraph" w:customStyle="1" w:styleId="souli">
    <w:name w:val="souli"/>
    <w:basedOn w:val="entete"/>
    <w:qFormat/>
    <w:pPr>
      <w:jc w:val="center"/>
    </w:pPr>
  </w:style>
  <w:style w:type="paragraph" w:styleId="Retraitcorpsdetexte">
    <w:name w:val="Body Text Indent"/>
    <w:basedOn w:val="Normal"/>
    <w:pPr>
      <w:ind w:left="705" w:hanging="705"/>
    </w:pPr>
    <w:rPr>
      <w:sz w:val="24"/>
    </w:rPr>
  </w:style>
  <w:style w:type="paragraph" w:styleId="Retraitcorpsdetexte2">
    <w:name w:val="Body Text Indent 2"/>
    <w:basedOn w:val="Normal"/>
    <w:qFormat/>
    <w:pPr>
      <w:ind w:left="1134" w:hanging="705"/>
    </w:pPr>
    <w:rPr>
      <w:sz w:val="24"/>
    </w:rPr>
  </w:style>
  <w:style w:type="paragraph" w:styleId="Retraitcorpsdetexte3">
    <w:name w:val="Body Text Indent 3"/>
    <w:basedOn w:val="Normal"/>
    <w:qFormat/>
    <w:pPr>
      <w:ind w:left="1416" w:hanging="1410"/>
    </w:pPr>
    <w:rPr>
      <w:sz w:val="24"/>
    </w:rPr>
  </w:style>
  <w:style w:type="paragraph" w:customStyle="1" w:styleId="HeaderandFooter">
    <w:name w:val="Header and Footer"/>
    <w:basedOn w:val="Normal"/>
    <w:qFormat/>
  </w:style>
  <w:style w:type="paragraph" w:styleId="En-tte">
    <w:name w:val="header"/>
    <w:basedOn w:val="Normal"/>
    <w:pPr>
      <w:tabs>
        <w:tab w:val="center" w:pos="4536"/>
        <w:tab w:val="right" w:pos="9072"/>
      </w:tabs>
    </w:pPr>
  </w:style>
  <w:style w:type="paragraph" w:styleId="Normalcentr">
    <w:name w:val="Block Text"/>
    <w:basedOn w:val="Normal"/>
    <w:qFormat/>
    <w:pPr>
      <w:ind w:left="705" w:right="283" w:hanging="705"/>
    </w:pPr>
    <w:rPr>
      <w:sz w:val="24"/>
    </w:rPr>
  </w:style>
  <w:style w:type="paragraph" w:styleId="Pieddepage">
    <w:name w:val="footer"/>
    <w:basedOn w:val="Normal"/>
    <w:pPr>
      <w:tabs>
        <w:tab w:val="center" w:pos="4536"/>
        <w:tab w:val="right" w:pos="9072"/>
      </w:tabs>
    </w:pPr>
  </w:style>
  <w:style w:type="paragraph" w:styleId="Notedefin">
    <w:name w:val="endnote text"/>
    <w:basedOn w:val="Normal"/>
    <w:qFormat/>
    <w:pPr>
      <w:widowControl w:val="0"/>
    </w:pPr>
    <w:rPr>
      <w:rFonts w:ascii="Courier" w:hAnsi="Courier"/>
    </w:rPr>
  </w:style>
  <w:style w:type="paragraph" w:styleId="TitreTR">
    <w:name w:val="toa heading"/>
    <w:basedOn w:val="Normal"/>
    <w:next w:val="Normal"/>
    <w:qFormat/>
    <w:pPr>
      <w:widowControl w:val="0"/>
      <w:tabs>
        <w:tab w:val="right" w:pos="9360"/>
      </w:tabs>
    </w:pPr>
    <w:rPr>
      <w:rFonts w:ascii="Courier" w:hAnsi="Courier"/>
      <w:sz w:val="20"/>
      <w:lang w:val="en-US"/>
    </w:rPr>
  </w:style>
  <w:style w:type="paragraph" w:styleId="Corpsdetexte2">
    <w:name w:val="Body Text 2"/>
    <w:basedOn w:val="Normal"/>
    <w:qFormat/>
    <w:pPr>
      <w:tabs>
        <w:tab w:val="left" w:pos="993"/>
      </w:tabs>
    </w:pPr>
  </w:style>
  <w:style w:type="paragraph" w:styleId="Explorateurdedocuments">
    <w:name w:val="Document Map"/>
    <w:basedOn w:val="Normal"/>
    <w:qFormat/>
    <w:pPr>
      <w:shd w:val="clear" w:color="auto" w:fill="000080"/>
    </w:pPr>
    <w:rPr>
      <w:rFonts w:ascii="Tahoma" w:hAnsi="Tahoma"/>
    </w:rPr>
  </w:style>
  <w:style w:type="paragraph" w:styleId="TM1">
    <w:name w:val="toc 1"/>
    <w:basedOn w:val="Normal"/>
    <w:next w:val="Normal"/>
    <w:autoRedefine/>
    <w:pPr>
      <w:spacing w:before="120" w:after="120"/>
    </w:pPr>
    <w:rPr>
      <w:b/>
      <w:caps/>
      <w:sz w:val="20"/>
    </w:rPr>
  </w:style>
  <w:style w:type="paragraph" w:styleId="TM2">
    <w:name w:val="toc 2"/>
    <w:basedOn w:val="Normal"/>
    <w:next w:val="Normal"/>
    <w:autoRedefine/>
    <w:pPr>
      <w:ind w:left="240"/>
    </w:pPr>
    <w:rPr>
      <w:smallCaps/>
      <w:sz w:val="20"/>
    </w:rPr>
  </w:style>
  <w:style w:type="paragraph" w:styleId="TM3">
    <w:name w:val="toc 3"/>
    <w:basedOn w:val="Normal"/>
    <w:next w:val="Normal"/>
    <w:autoRedefine/>
    <w:pPr>
      <w:ind w:left="480"/>
    </w:pPr>
    <w:rPr>
      <w:i/>
      <w:sz w:val="20"/>
    </w:rPr>
  </w:style>
  <w:style w:type="paragraph" w:styleId="TM4">
    <w:name w:val="toc 4"/>
    <w:basedOn w:val="Normal"/>
    <w:next w:val="Normal"/>
    <w:autoRedefine/>
    <w:pPr>
      <w:ind w:left="720"/>
    </w:pPr>
    <w:rPr>
      <w:sz w:val="18"/>
    </w:rPr>
  </w:style>
  <w:style w:type="paragraph" w:styleId="TM5">
    <w:name w:val="toc 5"/>
    <w:basedOn w:val="Normal"/>
    <w:next w:val="Normal"/>
    <w:autoRedefine/>
    <w:pPr>
      <w:ind w:left="960"/>
    </w:pPr>
    <w:rPr>
      <w:sz w:val="18"/>
    </w:rPr>
  </w:style>
  <w:style w:type="paragraph" w:styleId="TM6">
    <w:name w:val="toc 6"/>
    <w:basedOn w:val="Normal"/>
    <w:next w:val="Normal"/>
    <w:autoRedefine/>
    <w:pPr>
      <w:ind w:left="1200"/>
    </w:pPr>
    <w:rPr>
      <w:sz w:val="18"/>
    </w:rPr>
  </w:style>
  <w:style w:type="paragraph" w:styleId="TM7">
    <w:name w:val="toc 7"/>
    <w:basedOn w:val="Normal"/>
    <w:next w:val="Normal"/>
    <w:autoRedefine/>
    <w:pPr>
      <w:ind w:left="1440"/>
    </w:pPr>
    <w:rPr>
      <w:sz w:val="18"/>
    </w:rPr>
  </w:style>
  <w:style w:type="paragraph" w:styleId="TM8">
    <w:name w:val="toc 8"/>
    <w:basedOn w:val="Normal"/>
    <w:next w:val="Normal"/>
    <w:autoRedefine/>
    <w:pPr>
      <w:ind w:left="1680"/>
    </w:pPr>
    <w:rPr>
      <w:sz w:val="18"/>
    </w:rPr>
  </w:style>
  <w:style w:type="paragraph" w:styleId="TM9">
    <w:name w:val="toc 9"/>
    <w:basedOn w:val="Normal"/>
    <w:next w:val="Normal"/>
    <w:autoRedefine/>
    <w:pPr>
      <w:ind w:left="1920"/>
    </w:pPr>
    <w:rPr>
      <w:sz w:val="18"/>
    </w:rPr>
  </w:style>
  <w:style w:type="paragraph" w:styleId="Corpsdetexte3">
    <w:name w:val="Body Text 3"/>
    <w:basedOn w:val="Normal"/>
    <w:qFormat/>
    <w:pPr>
      <w:tabs>
        <w:tab w:val="left" w:pos="993"/>
      </w:tabs>
    </w:pPr>
    <w:rPr>
      <w:color w:val="800080"/>
    </w:rPr>
  </w:style>
  <w:style w:type="paragraph" w:styleId="Commentaire">
    <w:name w:val="annotation text"/>
    <w:basedOn w:val="Normal"/>
    <w:qFormat/>
    <w:rPr>
      <w:sz w:val="20"/>
    </w:rPr>
  </w:style>
  <w:style w:type="paragraph" w:styleId="Objetducommentaire">
    <w:name w:val="annotation subject"/>
    <w:basedOn w:val="Commentaire"/>
    <w:qFormat/>
    <w:rPr>
      <w:b/>
      <w:bCs/>
    </w:rPr>
  </w:style>
  <w:style w:type="paragraph" w:styleId="Textedebulles">
    <w:name w:val="Balloon Text"/>
    <w:basedOn w:val="Normal"/>
    <w:qFormat/>
    <w:rPr>
      <w:rFonts w:ascii="Tahoma" w:hAnsi="Tahoma" w:cs="Tahoma"/>
      <w:sz w:val="16"/>
      <w:szCs w:val="16"/>
    </w:rPr>
  </w:style>
  <w:style w:type="paragraph" w:customStyle="1" w:styleId="entecou0">
    <w:name w:val="entecou"/>
    <w:basedOn w:val="Normal"/>
    <w:qFormat/>
    <w:rPr>
      <w:szCs w:val="24"/>
    </w:rPr>
  </w:style>
  <w:style w:type="paragraph" w:styleId="NormalWeb">
    <w:name w:val="Normal (Web)"/>
    <w:basedOn w:val="Normal"/>
    <w:qFormat/>
    <w:rPr>
      <w:szCs w:val="24"/>
    </w:rPr>
  </w:style>
  <w:style w:type="paragraph" w:customStyle="1" w:styleId="Paragraphedeliste1">
    <w:name w:val="Paragraphe de liste1"/>
    <w:basedOn w:val="Normal"/>
    <w:qFormat/>
    <w:pPr>
      <w:ind w:left="720"/>
    </w:pPr>
    <w:rPr>
      <w:szCs w:val="24"/>
    </w:rPr>
  </w:style>
  <w:style w:type="paragraph" w:styleId="Paragraphedeliste">
    <w:name w:val="List Paragraph"/>
    <w:basedOn w:val="Normal"/>
    <w:qFormat/>
    <w:pPr>
      <w:ind w:left="708"/>
    </w:pPr>
    <w:rPr>
      <w:sz w:val="20"/>
    </w:rPr>
  </w:style>
  <w:style w:type="paragraph" w:customStyle="1" w:styleId="msolistparagraph0">
    <w:name w:val="msolistparagraph"/>
    <w:basedOn w:val="Normal"/>
    <w:qFormat/>
    <w:pPr>
      <w:ind w:left="720"/>
    </w:pPr>
    <w:rPr>
      <w:rFonts w:ascii="Calibri" w:hAnsi="Calibri"/>
      <w:szCs w:val="22"/>
    </w:rPr>
  </w:style>
  <w:style w:type="paragraph" w:styleId="Sansinterligne">
    <w:name w:val="No Spacing"/>
    <w:qFormat/>
    <w:rPr>
      <w:rFonts w:ascii="Calibri" w:eastAsia="Calibri" w:hAnsi="Calibri"/>
      <w:szCs w:val="22"/>
      <w:lang w:eastAsia="en-US"/>
    </w:rPr>
  </w:style>
  <w:style w:type="paragraph" w:customStyle="1" w:styleId="Standard">
    <w:name w:val="Standard"/>
    <w:qFormat/>
    <w:rPr>
      <w:sz w:val="24"/>
      <w:szCs w:val="24"/>
      <w:lang w:val="fr-CA" w:eastAsia="zh-CN"/>
    </w:rPr>
  </w:style>
  <w:style w:type="paragraph" w:customStyle="1" w:styleId="Quotations">
    <w:name w:val="Quotations"/>
    <w:basedOn w:val="Normal"/>
    <w:qFormat/>
  </w:style>
  <w:style w:type="paragraph" w:styleId="Titre">
    <w:name w:val="Title"/>
    <w:basedOn w:val="Heading"/>
    <w:uiPriority w:val="10"/>
    <w:qFormat/>
  </w:style>
  <w:style w:type="paragraph" w:styleId="Sous-titre">
    <w:name w:val="Subtitle"/>
    <w:basedOn w:val="Heading"/>
    <w:uiPriority w:val="11"/>
    <w:qFormat/>
  </w:style>
  <w:style w:type="paragraph" w:customStyle="1" w:styleId="TableContents">
    <w:name w:val="Table Contents"/>
    <w:basedOn w:val="Normal"/>
    <w:qFormat/>
  </w:style>
  <w:style w:type="paragraph" w:customStyle="1" w:styleId="TableHeading0">
    <w:name w:val="Table Heading"/>
    <w:basedOn w:val="TableContents"/>
    <w:qFormat/>
  </w:style>
  <w:style w:type="numbering" w:customStyle="1" w:styleId="podNumberedList">
    <w:name w:val="podNumberedList"/>
    <w:qFormat/>
  </w:style>
  <w:style w:type="numbering" w:customStyle="1" w:styleId="podBulletedList">
    <w:name w:val="podBulletedLis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757</Words>
  <Characters>4169</Characters>
  <Application>Microsoft Office Word</Application>
  <DocSecurity>4</DocSecurity>
  <Lines>34</Lines>
  <Paragraphs>9</Paragraphs>
  <ScaleCrop>false</ScaleCrop>
  <Company>Ville de Wavre</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tmpd_1OFR</dc:title>
  <dc:subject/>
  <dc:creator>NVN</dc:creator>
  <dc:description/>
  <cp:lastModifiedBy>Julie Goffart</cp:lastModifiedBy>
  <cp:revision>2</cp:revision>
  <cp:lastPrinted>2016-06-10T13:52:00Z</cp:lastPrinted>
  <dcterms:created xsi:type="dcterms:W3CDTF">2025-10-30T07:47:00Z</dcterms:created>
  <dcterms:modified xsi:type="dcterms:W3CDTF">2025-10-30T07:47:00Z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